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0" w:type="dxa"/>
        <w:tblInd w:w="-176" w:type="dxa"/>
        <w:tblLayout w:type="fixed"/>
        <w:tblLook w:val="04A0" w:firstRow="1" w:lastRow="0" w:firstColumn="1" w:lastColumn="0" w:noHBand="0" w:noVBand="1"/>
      </w:tblPr>
      <w:tblGrid>
        <w:gridCol w:w="3572"/>
        <w:gridCol w:w="5668"/>
      </w:tblGrid>
      <w:tr w:rsidR="007D3F6F" w14:paraId="0EB2A353" w14:textId="77777777" w:rsidTr="007D3F6F">
        <w:tc>
          <w:tcPr>
            <w:tcW w:w="3573" w:type="dxa"/>
          </w:tcPr>
          <w:p w14:paraId="06CBBD60" w14:textId="77777777" w:rsidR="007D3F6F" w:rsidRDefault="007D3F6F">
            <w:pPr>
              <w:ind w:right="-142"/>
              <w:jc w:val="center"/>
              <w:rPr>
                <w:b/>
                <w:sz w:val="26"/>
                <w:szCs w:val="26"/>
              </w:rPr>
            </w:pPr>
            <w:bookmarkStart w:id="0" w:name="_Hlk141776402"/>
            <w:r>
              <w:rPr>
                <w:b/>
                <w:sz w:val="26"/>
                <w:szCs w:val="26"/>
              </w:rPr>
              <w:t>VĂN PHÒNG CHÍNH PHỦ</w:t>
            </w:r>
          </w:p>
          <w:p w14:paraId="512CAE44" w14:textId="77777777" w:rsidR="007D3F6F" w:rsidRDefault="007D3F6F" w:rsidP="00566BED">
            <w:pPr>
              <w:ind w:right="-142"/>
              <w:jc w:val="center"/>
              <w:rPr>
                <w:b/>
                <w:vertAlign w:val="superscript"/>
              </w:rPr>
            </w:pPr>
            <w:r>
              <w:rPr>
                <w:b/>
                <w:vertAlign w:val="superscript"/>
              </w:rPr>
              <w:t>_______________</w:t>
            </w:r>
          </w:p>
          <w:p w14:paraId="3A264EDB" w14:textId="77777777" w:rsidR="007D3F6F" w:rsidRDefault="007D3F6F">
            <w:pPr>
              <w:ind w:right="-144"/>
              <w:jc w:val="center"/>
            </w:pPr>
          </w:p>
          <w:p w14:paraId="6AABED77" w14:textId="77777777" w:rsidR="007D3F6F" w:rsidRDefault="007D3F6F">
            <w:pPr>
              <w:spacing w:after="120"/>
              <w:ind w:right="-144"/>
              <w:jc w:val="center"/>
            </w:pPr>
            <w:r>
              <w:t>Số:           /BC-VPCP</w:t>
            </w:r>
          </w:p>
        </w:tc>
        <w:tc>
          <w:tcPr>
            <w:tcW w:w="5670" w:type="dxa"/>
            <w:hideMark/>
          </w:tcPr>
          <w:p w14:paraId="60C1DA20" w14:textId="77777777" w:rsidR="007D3F6F" w:rsidRDefault="007D3F6F">
            <w:pPr>
              <w:jc w:val="center"/>
              <w:rPr>
                <w:b/>
                <w:sz w:val="26"/>
                <w:szCs w:val="26"/>
              </w:rPr>
            </w:pPr>
            <w:r>
              <w:rPr>
                <w:b/>
                <w:sz w:val="26"/>
                <w:szCs w:val="26"/>
              </w:rPr>
              <w:t>CỘNG HOÀ XÃ HỘI CHỦ NGHĨA VIỆT NAM</w:t>
            </w:r>
          </w:p>
          <w:p w14:paraId="07D9ED0C" w14:textId="7630621E" w:rsidR="007D3F6F" w:rsidRDefault="007D3F6F">
            <w:pPr>
              <w:ind w:right="-144"/>
              <w:jc w:val="center"/>
              <w:rPr>
                <w:b/>
              </w:rPr>
            </w:pPr>
            <w:r>
              <w:rPr>
                <w:b/>
              </w:rPr>
              <w:t>Độc lập - Tự do - Hạnh phúc</w:t>
            </w:r>
          </w:p>
          <w:p w14:paraId="3931173A" w14:textId="7474DCC3" w:rsidR="007D3F6F" w:rsidRDefault="007D3F6F">
            <w:pPr>
              <w:ind w:right="-144"/>
              <w:jc w:val="center"/>
              <w:rPr>
                <w:b/>
              </w:rPr>
            </w:pPr>
            <w:r>
              <w:rPr>
                <w:b/>
                <w:noProof/>
              </w:rPr>
              <mc:AlternateContent>
                <mc:Choice Requires="wps">
                  <w:drawing>
                    <wp:anchor distT="0" distB="0" distL="114300" distR="114300" simplePos="0" relativeHeight="251659264" behindDoc="0" locked="0" layoutInCell="1" allowOverlap="1" wp14:anchorId="424607D2" wp14:editId="4FFE35A1">
                      <wp:simplePos x="0" y="0"/>
                      <wp:positionH relativeFrom="column">
                        <wp:posOffset>733424</wp:posOffset>
                      </wp:positionH>
                      <wp:positionV relativeFrom="paragraph">
                        <wp:posOffset>62443</wp:posOffset>
                      </wp:positionV>
                      <wp:extent cx="2065867"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658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B11E0A"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75pt,4.9pt" to="220.4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" strokecolor="black [3040]"/>
                  </w:pict>
                </mc:Fallback>
              </mc:AlternateContent>
            </w:r>
          </w:p>
          <w:p w14:paraId="77F1B4D1" w14:textId="77777777" w:rsidR="007D3F6F" w:rsidRDefault="007D3F6F">
            <w:pPr>
              <w:spacing w:after="120"/>
              <w:ind w:right="-144"/>
              <w:jc w:val="center"/>
              <w:rPr>
                <w:i/>
              </w:rPr>
            </w:pPr>
            <w:r>
              <w:rPr>
                <w:i/>
              </w:rPr>
              <w:t>Hà Nội, ngày      tháng      năm 2025</w:t>
            </w:r>
          </w:p>
        </w:tc>
      </w:tr>
    </w:tbl>
    <w:p w14:paraId="4B4CF27E" w14:textId="724825FA" w:rsidR="00666272" w:rsidRPr="00F46111" w:rsidRDefault="00666272" w:rsidP="005F396F">
      <w:pPr>
        <w:spacing w:after="120" w:line="340" w:lineRule="exact"/>
        <w:jc w:val="center"/>
        <w:rPr>
          <w:b/>
          <w:sz w:val="26"/>
          <w:szCs w:val="26"/>
        </w:rPr>
      </w:pPr>
    </w:p>
    <w:p w14:paraId="0549D305" w14:textId="66F2A011" w:rsidR="00B94D3B" w:rsidRPr="00F46111" w:rsidRDefault="00B94D3B" w:rsidP="004E792A">
      <w:pPr>
        <w:jc w:val="center"/>
        <w:rPr>
          <w:rFonts w:ascii="Times New Roman Bold" w:hAnsi="Times New Roman Bold"/>
          <w:b/>
        </w:rPr>
      </w:pPr>
      <w:r w:rsidRPr="00F46111">
        <w:rPr>
          <w:b/>
          <w:sz w:val="26"/>
          <w:szCs w:val="26"/>
        </w:rPr>
        <w:t>BÁO CÁO</w:t>
      </w:r>
      <w:r w:rsidR="0099204A" w:rsidRPr="00F46111">
        <w:rPr>
          <w:b/>
          <w:sz w:val="26"/>
          <w:szCs w:val="26"/>
        </w:rPr>
        <w:br/>
      </w:r>
      <w:r w:rsidRPr="00F46111">
        <w:rPr>
          <w:rFonts w:ascii="Times New Roman Bold" w:hAnsi="Times New Roman Bold"/>
          <w:b/>
        </w:rPr>
        <w:t>T</w:t>
      </w:r>
      <w:r w:rsidRPr="00F46111">
        <w:rPr>
          <w:rFonts w:ascii="Times New Roman Bold" w:hAnsi="Times New Roman Bold" w:hint="eastAsia"/>
          <w:b/>
        </w:rPr>
        <w:t>ì</w:t>
      </w:r>
      <w:r w:rsidRPr="00F46111">
        <w:rPr>
          <w:rFonts w:ascii="Times New Roman Bold" w:hAnsi="Times New Roman Bold"/>
          <w:b/>
        </w:rPr>
        <w:t>nh h</w:t>
      </w:r>
      <w:r w:rsidRPr="00F46111">
        <w:rPr>
          <w:rFonts w:ascii="Times New Roman Bold" w:hAnsi="Times New Roman Bold" w:hint="eastAsia"/>
          <w:b/>
        </w:rPr>
        <w:t>ì</w:t>
      </w:r>
      <w:r w:rsidRPr="00F46111">
        <w:rPr>
          <w:rFonts w:ascii="Times New Roman Bold" w:hAnsi="Times New Roman Bold"/>
          <w:b/>
        </w:rPr>
        <w:t>nh, k</w:t>
      </w:r>
      <w:r w:rsidRPr="00F46111">
        <w:rPr>
          <w:rFonts w:ascii="Times New Roman Bold" w:hAnsi="Times New Roman Bold" w:hint="eastAsia"/>
          <w:b/>
        </w:rPr>
        <w:t>ế</w:t>
      </w:r>
      <w:r w:rsidRPr="00F46111">
        <w:rPr>
          <w:rFonts w:ascii="Times New Roman Bold" w:hAnsi="Times New Roman Bold"/>
          <w:b/>
        </w:rPr>
        <w:t>t quả cải c</w:t>
      </w:r>
      <w:r w:rsidRPr="00F46111">
        <w:rPr>
          <w:rFonts w:ascii="Times New Roman Bold" w:hAnsi="Times New Roman Bold" w:hint="eastAsia"/>
          <w:b/>
        </w:rPr>
        <w:t>á</w:t>
      </w:r>
      <w:r w:rsidRPr="00F46111">
        <w:rPr>
          <w:rFonts w:ascii="Times New Roman Bold" w:hAnsi="Times New Roman Bold"/>
          <w:b/>
        </w:rPr>
        <w:t>ch thủ tục h</w:t>
      </w:r>
      <w:r w:rsidRPr="00F46111">
        <w:rPr>
          <w:rFonts w:ascii="Times New Roman Bold" w:hAnsi="Times New Roman Bold" w:hint="eastAsia"/>
          <w:b/>
        </w:rPr>
        <w:t>à</w:t>
      </w:r>
      <w:r w:rsidRPr="00F46111">
        <w:rPr>
          <w:rFonts w:ascii="Times New Roman Bold" w:hAnsi="Times New Roman Bold"/>
          <w:b/>
        </w:rPr>
        <w:t>nh ch</w:t>
      </w:r>
      <w:r w:rsidRPr="00F46111">
        <w:rPr>
          <w:rFonts w:ascii="Times New Roman Bold" w:hAnsi="Times New Roman Bold" w:hint="eastAsia"/>
          <w:b/>
        </w:rPr>
        <w:t>í</w:t>
      </w:r>
      <w:r w:rsidRPr="00F46111">
        <w:rPr>
          <w:rFonts w:ascii="Times New Roman Bold" w:hAnsi="Times New Roman Bold"/>
          <w:b/>
        </w:rPr>
        <w:t>nh th</w:t>
      </w:r>
      <w:r w:rsidRPr="00F46111">
        <w:rPr>
          <w:rFonts w:ascii="Times New Roman Bold" w:hAnsi="Times New Roman Bold" w:hint="eastAsia"/>
          <w:b/>
        </w:rPr>
        <w:t>á</w:t>
      </w:r>
      <w:r w:rsidRPr="00F46111">
        <w:rPr>
          <w:rFonts w:ascii="Times New Roman Bold" w:hAnsi="Times New Roman Bold"/>
          <w:b/>
        </w:rPr>
        <w:t xml:space="preserve">ng </w:t>
      </w:r>
      <w:r w:rsidR="00BD532B" w:rsidRPr="00F46111">
        <w:rPr>
          <w:rFonts w:ascii="Times New Roman Bold" w:hAnsi="Times New Roman Bold"/>
          <w:b/>
        </w:rPr>
        <w:t>5</w:t>
      </w:r>
      <w:r w:rsidR="0030455A" w:rsidRPr="00F46111">
        <w:rPr>
          <w:rFonts w:ascii="Times New Roman Bold" w:hAnsi="Times New Roman Bold"/>
          <w:b/>
        </w:rPr>
        <w:t xml:space="preserve"> </w:t>
      </w:r>
      <w:r w:rsidRPr="00F46111">
        <w:rPr>
          <w:rFonts w:ascii="Times New Roman Bold" w:hAnsi="Times New Roman Bold"/>
          <w:b/>
        </w:rPr>
        <w:t>n</w:t>
      </w:r>
      <w:r w:rsidRPr="00F46111">
        <w:rPr>
          <w:rFonts w:ascii="Times New Roman Bold" w:hAnsi="Times New Roman Bold" w:hint="eastAsia"/>
          <w:b/>
        </w:rPr>
        <w:t>ă</w:t>
      </w:r>
      <w:r w:rsidRPr="00F46111">
        <w:rPr>
          <w:rFonts w:ascii="Times New Roman Bold" w:hAnsi="Times New Roman Bold"/>
          <w:b/>
        </w:rPr>
        <w:t>m 202</w:t>
      </w:r>
      <w:r w:rsidR="00576FAA" w:rsidRPr="00F46111">
        <w:rPr>
          <w:rFonts w:ascii="Times New Roman Bold" w:hAnsi="Times New Roman Bold"/>
          <w:b/>
        </w:rPr>
        <w:t>5</w:t>
      </w:r>
    </w:p>
    <w:p w14:paraId="1D50BB13" w14:textId="397EC5F6" w:rsidR="0099204A" w:rsidRPr="00F46111" w:rsidRDefault="0099204A" w:rsidP="004E792A">
      <w:pPr>
        <w:jc w:val="center"/>
        <w:rPr>
          <w:b/>
          <w:sz w:val="20"/>
          <w:szCs w:val="20"/>
        </w:rPr>
      </w:pPr>
      <w:r w:rsidRPr="00F46111">
        <w:rPr>
          <w:b/>
          <w:sz w:val="20"/>
          <w:szCs w:val="20"/>
        </w:rPr>
        <w:t>____</w:t>
      </w:r>
      <w:r w:rsidR="001B6E69" w:rsidRPr="00F46111">
        <w:rPr>
          <w:b/>
          <w:sz w:val="20"/>
          <w:szCs w:val="20"/>
        </w:rPr>
        <w:t>_____</w:t>
      </w:r>
      <w:r w:rsidRPr="00F46111">
        <w:rPr>
          <w:b/>
          <w:sz w:val="20"/>
          <w:szCs w:val="20"/>
        </w:rPr>
        <w:t>____</w:t>
      </w:r>
    </w:p>
    <w:p w14:paraId="7C311AD0" w14:textId="35EBF1F0" w:rsidR="00B94D3B" w:rsidRPr="00F46111" w:rsidRDefault="00B94D3B" w:rsidP="004E792A">
      <w:pPr>
        <w:jc w:val="center"/>
        <w:rPr>
          <w:b/>
        </w:rPr>
      </w:pPr>
    </w:p>
    <w:p w14:paraId="02DEA004" w14:textId="17422D49" w:rsidR="00B94D3B" w:rsidRPr="00F46111" w:rsidRDefault="00B94D3B" w:rsidP="00AC3B1C">
      <w:pPr>
        <w:widowControl w:val="0"/>
        <w:spacing w:before="240" w:after="240"/>
        <w:jc w:val="center"/>
      </w:pPr>
      <w:r w:rsidRPr="00F46111">
        <w:t>Kính gửi: Chính phủ.</w:t>
      </w:r>
    </w:p>
    <w:p w14:paraId="60D018DE" w14:textId="77777777" w:rsidR="0052555A" w:rsidRPr="00F46111" w:rsidRDefault="0052555A" w:rsidP="004E792A">
      <w:pPr>
        <w:widowControl w:val="0"/>
        <w:jc w:val="center"/>
      </w:pPr>
    </w:p>
    <w:p w14:paraId="31AD7612" w14:textId="0F1285FD" w:rsidR="00F63FC9" w:rsidRPr="003F0DBC" w:rsidRDefault="000C1F78" w:rsidP="004832CE">
      <w:pPr>
        <w:widowControl w:val="0"/>
        <w:spacing w:before="120" w:after="120"/>
        <w:ind w:firstLine="720"/>
        <w:jc w:val="both"/>
      </w:pPr>
      <w:r w:rsidRPr="003F0DBC">
        <w:t xml:space="preserve">Thực hiện nhiệm vụ </w:t>
      </w:r>
      <w:r w:rsidR="00ED3BA6" w:rsidRPr="003F0DBC">
        <w:t xml:space="preserve">Chính phủ, </w:t>
      </w:r>
      <w:r w:rsidRPr="003F0DBC">
        <w:t>Thủ tướng Chính phủ giao</w:t>
      </w:r>
      <w:r w:rsidR="005F261F" w:rsidRPr="003F0DBC">
        <w:rPr>
          <w:rStyle w:val="FootnoteReference"/>
          <w:b/>
        </w:rPr>
        <w:footnoteReference w:id="1"/>
      </w:r>
      <w:r w:rsidRPr="003F0DBC">
        <w:t xml:space="preserve">, trên cơ sở </w:t>
      </w:r>
      <w:r w:rsidR="00554499" w:rsidRPr="003F0DBC">
        <w:t xml:space="preserve">báo cáo của </w:t>
      </w:r>
      <w:r w:rsidR="00C218E7" w:rsidRPr="003F0DBC">
        <w:t>các</w:t>
      </w:r>
      <w:r w:rsidR="00367E35" w:rsidRPr="003F0DBC">
        <w:t xml:space="preserve"> bộ, </w:t>
      </w:r>
      <w:r w:rsidR="00733DE4" w:rsidRPr="003F0DBC">
        <w:t>ngành</w:t>
      </w:r>
      <w:r w:rsidR="00367E35" w:rsidRPr="003F0DBC">
        <w:t>, địa phương</w:t>
      </w:r>
      <w:r w:rsidR="00554499" w:rsidRPr="003F0DBC">
        <w:t xml:space="preserve"> và</w:t>
      </w:r>
      <w:r w:rsidR="00367E35" w:rsidRPr="003F0DBC">
        <w:t xml:space="preserve"> </w:t>
      </w:r>
      <w:r w:rsidR="007A7D73" w:rsidRPr="003F0DBC">
        <w:rPr>
          <w:shd w:val="clear" w:color="auto" w:fill="FFFFFF"/>
        </w:rPr>
        <w:t>dữ</w:t>
      </w:r>
      <w:r w:rsidR="00554499" w:rsidRPr="003F0DBC">
        <w:rPr>
          <w:shd w:val="clear" w:color="auto" w:fill="FFFFFF"/>
        </w:rPr>
        <w:t xml:space="preserve"> liệu từ Bộ chỉ số phục vụ người dân và doanh nghiệp trên Cổng Dịch vụ công quốc gia</w:t>
      </w:r>
      <w:r w:rsidR="009B0A6C" w:rsidRPr="003F0DBC">
        <w:rPr>
          <w:shd w:val="clear" w:color="auto" w:fill="FFFFFF"/>
        </w:rPr>
        <w:t xml:space="preserve"> (DVCQG)</w:t>
      </w:r>
      <w:r w:rsidR="00554499" w:rsidRPr="003F0DBC">
        <w:rPr>
          <w:shd w:val="clear" w:color="auto" w:fill="FFFFFF"/>
        </w:rPr>
        <w:t>,</w:t>
      </w:r>
      <w:r w:rsidR="00554499" w:rsidRPr="003F0DBC">
        <w:t xml:space="preserve"> </w:t>
      </w:r>
      <w:r w:rsidR="00367E35" w:rsidRPr="003F0DBC">
        <w:t>Văn phòng Chính phủ báo cáo Chính phủ</w:t>
      </w:r>
      <w:r w:rsidRPr="003F0DBC">
        <w:t>, Thủ tướng Chính phủ</w:t>
      </w:r>
      <w:r w:rsidR="00367E35" w:rsidRPr="003F0DBC">
        <w:t xml:space="preserve"> </w:t>
      </w:r>
      <w:r w:rsidR="005F261F" w:rsidRPr="003F0DBC">
        <w:t>về</w:t>
      </w:r>
      <w:r w:rsidR="00554499" w:rsidRPr="003F0DBC">
        <w:t xml:space="preserve"> tình hình, kết quả thực hiện công tác cải cách thủ tục hành chính (TTHC) tháng </w:t>
      </w:r>
      <w:r w:rsidR="00BD532B" w:rsidRPr="003F0DBC">
        <w:t>5</w:t>
      </w:r>
      <w:r w:rsidR="00804A66" w:rsidRPr="003F0DBC">
        <w:t xml:space="preserve"> năm 2025 </w:t>
      </w:r>
      <w:r w:rsidR="00367E35" w:rsidRPr="003F0DBC">
        <w:t>như sau:</w:t>
      </w:r>
    </w:p>
    <w:p w14:paraId="6697685B" w14:textId="77777777" w:rsidR="00121108" w:rsidRPr="003F0DBC" w:rsidRDefault="00367E35" w:rsidP="004832CE">
      <w:pPr>
        <w:widowControl w:val="0"/>
        <w:spacing w:before="120" w:after="120"/>
        <w:ind w:firstLine="720"/>
        <w:jc w:val="both"/>
        <w:rPr>
          <w:b/>
        </w:rPr>
      </w:pPr>
      <w:r w:rsidRPr="003F0DBC">
        <w:rPr>
          <w:b/>
        </w:rPr>
        <w:t xml:space="preserve">I. </w:t>
      </w:r>
      <w:r w:rsidR="00D85CBC" w:rsidRPr="003F0DBC">
        <w:rPr>
          <w:b/>
        </w:rPr>
        <w:t xml:space="preserve">KẾT QUẢ THỰC HIỆN </w:t>
      </w:r>
    </w:p>
    <w:p w14:paraId="598B5767" w14:textId="77777777" w:rsidR="000C1F78" w:rsidRPr="003F0DBC" w:rsidRDefault="000C1F78" w:rsidP="004832CE">
      <w:pPr>
        <w:widowControl w:val="0"/>
        <w:spacing w:before="120" w:after="120"/>
        <w:ind w:firstLine="720"/>
        <w:jc w:val="both"/>
        <w:rPr>
          <w:b/>
        </w:rPr>
      </w:pPr>
      <w:r w:rsidRPr="003F0DBC">
        <w:rPr>
          <w:b/>
        </w:rPr>
        <w:t>1. Về công tác chỉ đạo, điều hành</w:t>
      </w:r>
    </w:p>
    <w:p w14:paraId="1A3A2EA8" w14:textId="0283D023" w:rsidR="00EF43D3" w:rsidRPr="003F0DBC" w:rsidRDefault="004C0BD5" w:rsidP="00703F98">
      <w:pPr>
        <w:spacing w:before="120" w:after="120"/>
        <w:ind w:firstLine="720"/>
        <w:jc w:val="both"/>
        <w:rPr>
          <w:lang w:val="en-US"/>
        </w:rPr>
      </w:pPr>
      <w:r w:rsidRPr="003F0DBC">
        <w:rPr>
          <w:spacing w:val="-8"/>
        </w:rPr>
        <w:t>Trên cơ sở đánh giá những kết quả đạt được trong tháng 4 năm 2025, Chính phủ,</w:t>
      </w:r>
      <w:r w:rsidRPr="003F0DBC">
        <w:t xml:space="preserve"> Thủ tướng Chính phủ tiếp tục chỉ đạo </w:t>
      </w:r>
      <w:r w:rsidR="00084FFD" w:rsidRPr="003F0DBC">
        <w:t xml:space="preserve">các bộ, </w:t>
      </w:r>
      <w:r w:rsidR="00084FFD">
        <w:t>cơ quan</w:t>
      </w:r>
      <w:r w:rsidR="00084FFD" w:rsidRPr="003F0DBC">
        <w:t xml:space="preserve">, địa phương </w:t>
      </w:r>
      <w:r w:rsidR="00202B54" w:rsidRPr="003F0DBC">
        <w:t>thúc đẩy hơn nữa</w:t>
      </w:r>
      <w:r w:rsidRPr="003F0DBC">
        <w:t xml:space="preserve"> công tác cải cách TTHC</w:t>
      </w:r>
      <w:r w:rsidR="00703F98" w:rsidRPr="003F0DBC">
        <w:t xml:space="preserve"> gắn với quá trình sắp xếp tổ chức bộ máy</w:t>
      </w:r>
      <w:r w:rsidR="00574BFA" w:rsidRPr="003F0DBC">
        <w:t xml:space="preserve">. Trong đó, yêu cầu các bộ, cơ quan, địa phương tập trung thực hiện hiệu quả nhiệm vụ, giải pháp cắt giảm đơn giản hóa TTHC liên quan đến hoạt động sản xuất, kinh doanh; </w:t>
      </w:r>
      <w:r w:rsidR="00AF6EC9" w:rsidRPr="003F0DBC">
        <w:t>triển khai Cổng Dịch vụ công quốc gia trở thành điểm “một cửa số” tập trung, duy nhất</w:t>
      </w:r>
      <w:r w:rsidR="00E039DF" w:rsidRPr="003F0DBC">
        <w:t xml:space="preserve"> quốc gia</w:t>
      </w:r>
      <w:r w:rsidR="00AF6EC9" w:rsidRPr="003F0DBC">
        <w:t>, thông suốt, hiệu quả, không bị gián đoạn</w:t>
      </w:r>
      <w:r w:rsidR="00E039DF" w:rsidRPr="00313034">
        <w:rPr>
          <w:rStyle w:val="FootnoteReference"/>
          <w:b/>
        </w:rPr>
        <w:footnoteReference w:id="2"/>
      </w:r>
      <w:r w:rsidR="0008306B" w:rsidRPr="003F0DBC">
        <w:t xml:space="preserve">; </w:t>
      </w:r>
      <w:r w:rsidR="00574BFA" w:rsidRPr="003F0DBC">
        <w:t>nâng cấp, phát triển Hệ thống thông tin giải quyết TTHC đáp ứng yêu cầu số hóa, thực hiện TTHC không phụ thuộc địa giới hành chính và mô hình tổ chức chính quyền địa phương 2 cấp theo chỉ đạo của Chính phủ, Thủ tướng Chính phủ</w:t>
      </w:r>
      <w:r w:rsidR="00A77DA9" w:rsidRPr="003F0DBC">
        <w:rPr>
          <w:rStyle w:val="FootnoteReference"/>
          <w:b/>
        </w:rPr>
        <w:footnoteReference w:id="3"/>
      </w:r>
      <w:r w:rsidR="00574BFA" w:rsidRPr="003F0DBC">
        <w:t xml:space="preserve">. </w:t>
      </w:r>
    </w:p>
    <w:p w14:paraId="6ABB81C4" w14:textId="168CFC4D" w:rsidR="00AB2ACA" w:rsidRPr="003F0DBC" w:rsidRDefault="00CB7DA7" w:rsidP="004832CE">
      <w:pPr>
        <w:spacing w:before="120" w:after="120"/>
        <w:ind w:firstLine="720"/>
        <w:jc w:val="both"/>
        <w:rPr>
          <w:spacing w:val="-4"/>
          <w:lang w:val="en-US"/>
        </w:rPr>
      </w:pPr>
      <w:r w:rsidRPr="003F0DBC">
        <w:rPr>
          <w:spacing w:val="-4"/>
        </w:rPr>
        <w:t xml:space="preserve">Bên cạnh đó, </w:t>
      </w:r>
      <w:r w:rsidR="0043532A" w:rsidRPr="003F0DBC">
        <w:rPr>
          <w:spacing w:val="-4"/>
          <w:lang w:val="en-US"/>
        </w:rPr>
        <w:t xml:space="preserve">Thủ tướng Chính phủ đã </w:t>
      </w:r>
      <w:r w:rsidR="00F9078D" w:rsidRPr="003F0DBC">
        <w:rPr>
          <w:spacing w:val="-4"/>
          <w:lang w:val="en-US"/>
        </w:rPr>
        <w:t>chỉ đạo</w:t>
      </w:r>
      <w:r w:rsidR="00A03BA5" w:rsidRPr="003F0DBC">
        <w:rPr>
          <w:spacing w:val="-4"/>
          <w:lang w:val="en-US"/>
        </w:rPr>
        <w:t xml:space="preserve"> các bộ, cơ quan</w:t>
      </w:r>
      <w:r w:rsidR="001B6AB1" w:rsidRPr="003F0DBC">
        <w:rPr>
          <w:spacing w:val="-4"/>
          <w:lang w:val="en-US"/>
        </w:rPr>
        <w:t xml:space="preserve">, địa phương </w:t>
      </w:r>
      <w:r w:rsidR="00A03BA5" w:rsidRPr="003F0DBC">
        <w:rPr>
          <w:spacing w:val="-4"/>
          <w:lang w:val="en-US"/>
        </w:rPr>
        <w:t>rà soát,</w:t>
      </w:r>
      <w:r w:rsidR="00F9078D" w:rsidRPr="003F0DBC">
        <w:rPr>
          <w:spacing w:val="-4"/>
        </w:rPr>
        <w:t xml:space="preserve"> phân định thẩm quyền giải quyết TTHC cấp huyện khi triển khai </w:t>
      </w:r>
      <w:r w:rsidR="00784A0C" w:rsidRPr="003F0DBC">
        <w:rPr>
          <w:spacing w:val="-4"/>
        </w:rPr>
        <w:t xml:space="preserve">thực hiện </w:t>
      </w:r>
      <w:r w:rsidR="00F9078D" w:rsidRPr="003F0DBC">
        <w:rPr>
          <w:spacing w:val="-4"/>
        </w:rPr>
        <w:t>mô hình chính quyền địa phương 2 cấp</w:t>
      </w:r>
      <w:r w:rsidR="00F9078D" w:rsidRPr="003F0DBC">
        <w:rPr>
          <w:rStyle w:val="FootnoteReference"/>
          <w:b/>
          <w:spacing w:val="-4"/>
        </w:rPr>
        <w:footnoteReference w:id="4"/>
      </w:r>
      <w:r w:rsidR="00F9078D" w:rsidRPr="003F0DBC">
        <w:rPr>
          <w:spacing w:val="-4"/>
          <w:lang w:val="en-US"/>
        </w:rPr>
        <w:t xml:space="preserve">. Đồng thời, </w:t>
      </w:r>
      <w:r w:rsidR="0043532A" w:rsidRPr="003F0DBC">
        <w:rPr>
          <w:spacing w:val="-4"/>
          <w:lang w:val="en-US"/>
        </w:rPr>
        <w:t xml:space="preserve">ban hành </w:t>
      </w:r>
      <w:r w:rsidR="008C4714" w:rsidRPr="003F0DBC">
        <w:rPr>
          <w:spacing w:val="-4"/>
          <w:lang w:val="en-US"/>
        </w:rPr>
        <w:t xml:space="preserve">03 </w:t>
      </w:r>
      <w:r w:rsidR="0043532A" w:rsidRPr="003F0DBC">
        <w:rPr>
          <w:spacing w:val="-4"/>
          <w:lang w:val="en-US"/>
        </w:rPr>
        <w:t>Công điện</w:t>
      </w:r>
      <w:r w:rsidR="0043532A" w:rsidRPr="003F0DBC">
        <w:rPr>
          <w:rStyle w:val="FootnoteReference"/>
          <w:b/>
          <w:spacing w:val="-4"/>
          <w:lang w:val="en-US"/>
        </w:rPr>
        <w:footnoteReference w:id="5"/>
      </w:r>
      <w:r w:rsidR="0043532A" w:rsidRPr="003F0DBC">
        <w:rPr>
          <w:b/>
          <w:spacing w:val="-4"/>
          <w:lang w:val="en-US"/>
        </w:rPr>
        <w:t xml:space="preserve"> </w:t>
      </w:r>
      <w:r w:rsidR="0043532A" w:rsidRPr="003F0DBC">
        <w:rPr>
          <w:spacing w:val="-4"/>
          <w:lang w:val="en-US"/>
        </w:rPr>
        <w:t>về</w:t>
      </w:r>
      <w:r w:rsidR="000E41F6" w:rsidRPr="003F0DBC">
        <w:rPr>
          <w:spacing w:val="-4"/>
          <w:lang w:val="en-US"/>
        </w:rPr>
        <w:t xml:space="preserve"> t</w:t>
      </w:r>
      <w:r w:rsidR="0043532A" w:rsidRPr="003F0DBC">
        <w:rPr>
          <w:spacing w:val="-4"/>
          <w:lang w:val="en-US"/>
        </w:rPr>
        <w:t xml:space="preserve">ập trung </w:t>
      </w:r>
      <w:r w:rsidR="00D62B76" w:rsidRPr="003F0DBC">
        <w:rPr>
          <w:spacing w:val="-4"/>
          <w:lang w:val="en-US"/>
        </w:rPr>
        <w:t>thực hiện</w:t>
      </w:r>
      <w:r w:rsidR="001855A5" w:rsidRPr="003F0DBC">
        <w:rPr>
          <w:spacing w:val="-4"/>
          <w:lang w:val="en-US"/>
        </w:rPr>
        <w:t xml:space="preserve">, </w:t>
      </w:r>
      <w:r w:rsidR="0043532A" w:rsidRPr="003F0DBC">
        <w:rPr>
          <w:spacing w:val="-4"/>
          <w:lang w:val="en-US"/>
        </w:rPr>
        <w:t>hoàn thành rà soát, cắt giảm, đơn giản hóa TTHC</w:t>
      </w:r>
      <w:r w:rsidR="00D62B76" w:rsidRPr="003F0DBC">
        <w:rPr>
          <w:spacing w:val="-4"/>
          <w:lang w:val="en-US"/>
        </w:rPr>
        <w:t xml:space="preserve"> theo Nghị quyết </w:t>
      </w:r>
      <w:r w:rsidR="008C729D" w:rsidRPr="003F0DBC">
        <w:rPr>
          <w:spacing w:val="-4"/>
          <w:lang w:val="en-US"/>
        </w:rPr>
        <w:br/>
      </w:r>
      <w:r w:rsidR="00D62B76" w:rsidRPr="003F0DBC">
        <w:rPr>
          <w:spacing w:val="-4"/>
          <w:lang w:val="en-US"/>
        </w:rPr>
        <w:t>số 66/NQ-CP</w:t>
      </w:r>
      <w:r w:rsidR="001855A5" w:rsidRPr="003F0DBC">
        <w:rPr>
          <w:spacing w:val="-4"/>
          <w:lang w:val="en-US"/>
        </w:rPr>
        <w:t xml:space="preserve"> và cắt giảm, đơn giản hóa TTHC trong lĩnh vực xây dựng</w:t>
      </w:r>
      <w:r w:rsidR="00D62B76" w:rsidRPr="003F0DBC">
        <w:rPr>
          <w:spacing w:val="-4"/>
          <w:lang w:val="en-US"/>
        </w:rPr>
        <w:t>;</w:t>
      </w:r>
      <w:r w:rsidR="001855A5" w:rsidRPr="003F0DBC">
        <w:rPr>
          <w:spacing w:val="-4"/>
          <w:lang w:val="en-US"/>
        </w:rPr>
        <w:t xml:space="preserve"> </w:t>
      </w:r>
      <w:r w:rsidR="000C488D" w:rsidRPr="003F0DBC">
        <w:rPr>
          <w:spacing w:val="-4"/>
          <w:lang w:val="en-US"/>
        </w:rPr>
        <w:t xml:space="preserve">01 </w:t>
      </w:r>
      <w:r w:rsidR="00D62B76" w:rsidRPr="003F0DBC">
        <w:rPr>
          <w:spacing w:val="-4"/>
          <w:lang w:val="en-US"/>
        </w:rPr>
        <w:t>Công điện</w:t>
      </w:r>
      <w:r w:rsidR="000C488D" w:rsidRPr="003F0DBC">
        <w:rPr>
          <w:rStyle w:val="FootnoteReference"/>
          <w:b/>
          <w:spacing w:val="-4"/>
          <w:lang w:val="en-US"/>
        </w:rPr>
        <w:footnoteReference w:id="6"/>
      </w:r>
      <w:r w:rsidR="00D62B76" w:rsidRPr="003F0DBC">
        <w:rPr>
          <w:b/>
          <w:spacing w:val="-4"/>
          <w:lang w:val="en-US"/>
        </w:rPr>
        <w:t xml:space="preserve"> </w:t>
      </w:r>
      <w:r w:rsidR="00D62B76" w:rsidRPr="003F0DBC">
        <w:rPr>
          <w:spacing w:val="-4"/>
          <w:lang w:val="en-US"/>
        </w:rPr>
        <w:t xml:space="preserve">về </w:t>
      </w:r>
      <w:r w:rsidR="000E41F6" w:rsidRPr="003F0DBC">
        <w:rPr>
          <w:spacing w:val="-4"/>
          <w:lang w:val="en-US"/>
        </w:rPr>
        <w:t>c</w:t>
      </w:r>
      <w:r w:rsidR="0043532A" w:rsidRPr="003F0DBC">
        <w:rPr>
          <w:spacing w:val="-4"/>
          <w:lang w:val="en-US"/>
        </w:rPr>
        <w:t>hấn chỉnh kỷ cương, tăng cường trách nhiệm, khắc phục hạn chế, tạo lập môi trường đầu tư kinh doanh thuận lợi cho doanh nghiệp.</w:t>
      </w:r>
    </w:p>
    <w:p w14:paraId="37961B09" w14:textId="3DA20643" w:rsidR="00BE2E6C" w:rsidRPr="003F0DBC" w:rsidRDefault="00BE2E6C" w:rsidP="00C2663D">
      <w:pPr>
        <w:spacing w:before="60" w:after="80"/>
        <w:ind w:firstLine="720"/>
        <w:jc w:val="both"/>
        <w:rPr>
          <w:lang w:val="en-US"/>
        </w:rPr>
      </w:pPr>
      <w:r w:rsidRPr="003F0DBC">
        <w:rPr>
          <w:lang w:val="en-US"/>
        </w:rPr>
        <w:lastRenderedPageBreak/>
        <w:t xml:space="preserve">Tổ công tác cải cách TTHC của Chính phủ đã </w:t>
      </w:r>
      <w:r w:rsidR="00EE2439" w:rsidRPr="003F0DBC">
        <w:rPr>
          <w:lang w:val="en-US"/>
        </w:rPr>
        <w:t xml:space="preserve">tiếp nhận, đề nghị </w:t>
      </w:r>
      <w:r w:rsidR="00D144CA" w:rsidRPr="003F0DBC">
        <w:rPr>
          <w:lang w:val="en-US"/>
        </w:rPr>
        <w:t xml:space="preserve">các </w:t>
      </w:r>
      <w:r w:rsidR="0002107D" w:rsidRPr="003F0DBC">
        <w:rPr>
          <w:lang w:val="en-US"/>
        </w:rPr>
        <w:t>B</w:t>
      </w:r>
      <w:r w:rsidR="00D144CA" w:rsidRPr="003F0DBC">
        <w:rPr>
          <w:lang w:val="en-US"/>
        </w:rPr>
        <w:t xml:space="preserve">ộ có liên quan </w:t>
      </w:r>
      <w:r w:rsidR="00EE2439" w:rsidRPr="003F0DBC">
        <w:rPr>
          <w:lang w:val="en-US"/>
        </w:rPr>
        <w:t>xử lý các đề xuất, kiến nghị của cơ quan thành viên Hội đồng tư vấn cải cách TTHC của Thủ tướng Chính phủ về các dự thảo</w:t>
      </w:r>
      <w:r w:rsidR="00253223" w:rsidRPr="003F0DBC">
        <w:rPr>
          <w:lang w:val="en-US"/>
        </w:rPr>
        <w:t>:</w:t>
      </w:r>
      <w:r w:rsidR="00EE2439" w:rsidRPr="003F0DBC">
        <w:rPr>
          <w:lang w:val="en-US"/>
        </w:rPr>
        <w:t xml:space="preserve"> Luật Hải quan sửa đổi; Luật sửa đổi, bổ sung một số điều của Luật Chất lượng sản phẩm, hàng hóa; </w:t>
      </w:r>
      <w:r w:rsidR="00253223" w:rsidRPr="003F0DBC">
        <w:rPr>
          <w:lang w:val="en-US"/>
        </w:rPr>
        <w:t>Nghị định quy định chi tiết một số điều và biện pháp thi hành Luật Dược</w:t>
      </w:r>
      <w:r w:rsidR="00BD59B2" w:rsidRPr="003F0DBC">
        <w:rPr>
          <w:rStyle w:val="FootnoteReference"/>
          <w:b/>
          <w:lang w:val="en-US"/>
        </w:rPr>
        <w:footnoteReference w:id="7"/>
      </w:r>
      <w:r w:rsidR="00253223" w:rsidRPr="003F0DBC">
        <w:rPr>
          <w:lang w:val="en-US"/>
        </w:rPr>
        <w:t>.</w:t>
      </w:r>
    </w:p>
    <w:p w14:paraId="48AFE49D" w14:textId="78467F85" w:rsidR="000C1F78" w:rsidRPr="003F0DBC" w:rsidRDefault="00304EF9" w:rsidP="00C2663D">
      <w:pPr>
        <w:widowControl w:val="0"/>
        <w:spacing w:before="60" w:after="80"/>
        <w:ind w:firstLine="720"/>
        <w:jc w:val="both"/>
        <w:rPr>
          <w:b/>
        </w:rPr>
      </w:pPr>
      <w:r w:rsidRPr="003F0DBC">
        <w:rPr>
          <w:b/>
        </w:rPr>
        <w:t>2</w:t>
      </w:r>
      <w:r w:rsidR="000C1F78" w:rsidRPr="003F0DBC">
        <w:rPr>
          <w:b/>
        </w:rPr>
        <w:t>. Về cải cách quy định TTHC</w:t>
      </w:r>
    </w:p>
    <w:p w14:paraId="22049C55" w14:textId="6D1D7B06" w:rsidR="00802853" w:rsidRPr="003F0DBC" w:rsidRDefault="00F77444" w:rsidP="00C2663D">
      <w:pPr>
        <w:spacing w:before="60" w:after="80"/>
        <w:ind w:firstLine="720"/>
        <w:jc w:val="both"/>
        <w:rPr>
          <w:b/>
        </w:rPr>
      </w:pPr>
      <w:r w:rsidRPr="003F0DBC">
        <w:rPr>
          <w:b/>
          <w:i/>
        </w:rPr>
        <w:t>a)</w:t>
      </w:r>
      <w:r w:rsidR="000C1F78" w:rsidRPr="003F0DBC">
        <w:rPr>
          <w:b/>
          <w:i/>
        </w:rPr>
        <w:t xml:space="preserve"> </w:t>
      </w:r>
      <w:r w:rsidR="000A0621" w:rsidRPr="003F0DBC">
        <w:rPr>
          <w:b/>
          <w:i/>
        </w:rPr>
        <w:t xml:space="preserve">Kết quả kiểm soát quy định TTHC trong dự án, dự thảo </w:t>
      </w:r>
      <w:r w:rsidR="00D04BC5" w:rsidRPr="003F0DBC">
        <w:rPr>
          <w:b/>
          <w:i/>
        </w:rPr>
        <w:t>văn bản quy phạm pháp luật (</w:t>
      </w:r>
      <w:r w:rsidR="000A0621" w:rsidRPr="003F0DBC">
        <w:rPr>
          <w:b/>
          <w:i/>
        </w:rPr>
        <w:t>VBQPPL</w:t>
      </w:r>
      <w:r w:rsidR="00D04BC5" w:rsidRPr="003F0DBC">
        <w:rPr>
          <w:b/>
          <w:i/>
        </w:rPr>
        <w:t>)</w:t>
      </w:r>
      <w:r w:rsidR="00D04BC5" w:rsidRPr="003F0DBC">
        <w:rPr>
          <w:b/>
        </w:rPr>
        <w:t>:</w:t>
      </w:r>
    </w:p>
    <w:p w14:paraId="2C3B57F1" w14:textId="5BEED2A3" w:rsidR="007C25AE" w:rsidRPr="003F0DBC" w:rsidRDefault="00377E10" w:rsidP="00C2663D">
      <w:pPr>
        <w:spacing w:before="60" w:after="80"/>
        <w:ind w:firstLine="720"/>
        <w:jc w:val="both"/>
      </w:pPr>
      <w:r w:rsidRPr="003F0DBC">
        <w:t>- C</w:t>
      </w:r>
      <w:r w:rsidR="00DF10DC" w:rsidRPr="003F0DBC">
        <w:t xml:space="preserve">ác bộ, ngành, địa phương đã đánh giá tác động </w:t>
      </w:r>
      <w:r w:rsidR="005B5B20" w:rsidRPr="003F0DBC">
        <w:rPr>
          <w:b/>
        </w:rPr>
        <w:t>87</w:t>
      </w:r>
      <w:r w:rsidR="00A66F8D" w:rsidRPr="003F0DBC">
        <w:rPr>
          <w:b/>
        </w:rPr>
        <w:t xml:space="preserve"> </w:t>
      </w:r>
      <w:r w:rsidR="00DF10DC" w:rsidRPr="003F0DBC">
        <w:t xml:space="preserve">TTHC tại </w:t>
      </w:r>
      <w:r w:rsidR="005B5B20" w:rsidRPr="003F0DBC">
        <w:rPr>
          <w:b/>
        </w:rPr>
        <w:t>26</w:t>
      </w:r>
      <w:r w:rsidR="00A66F8D" w:rsidRPr="003F0DBC">
        <w:t xml:space="preserve"> </w:t>
      </w:r>
      <w:r w:rsidR="00DF10DC" w:rsidRPr="003F0DBC">
        <w:t xml:space="preserve">dự thảo </w:t>
      </w:r>
      <w:r w:rsidR="00232217" w:rsidRPr="003F0DBC">
        <w:t>VB</w:t>
      </w:r>
      <w:r w:rsidR="00DF10DC" w:rsidRPr="003F0DBC">
        <w:t>QPPL</w:t>
      </w:r>
      <w:r w:rsidR="00D477FD" w:rsidRPr="003F0DBC">
        <w:rPr>
          <w:rStyle w:val="FootnoteReference"/>
          <w:b/>
        </w:rPr>
        <w:footnoteReference w:id="8"/>
      </w:r>
      <w:r w:rsidR="00232217" w:rsidRPr="003F0DBC">
        <w:t>,</w:t>
      </w:r>
      <w:r w:rsidR="00DF10DC" w:rsidRPr="003F0DBC">
        <w:t xml:space="preserve"> </w:t>
      </w:r>
      <w:r w:rsidR="00201188" w:rsidRPr="003F0DBC">
        <w:t xml:space="preserve">thực hiện </w:t>
      </w:r>
      <w:r w:rsidR="00DF10DC" w:rsidRPr="003F0DBC">
        <w:t xml:space="preserve">thẩm định </w:t>
      </w:r>
      <w:r w:rsidR="00A66F8D" w:rsidRPr="003F0DBC">
        <w:rPr>
          <w:b/>
        </w:rPr>
        <w:t>150</w:t>
      </w:r>
      <w:r w:rsidR="00A66F8D" w:rsidRPr="003F0DBC">
        <w:t xml:space="preserve"> </w:t>
      </w:r>
      <w:r w:rsidR="007C0A5B" w:rsidRPr="003F0DBC">
        <w:t xml:space="preserve">TTHC </w:t>
      </w:r>
      <w:r w:rsidR="00D477FD" w:rsidRPr="003F0DBC">
        <w:t>quy định</w:t>
      </w:r>
      <w:r w:rsidR="00DF10DC" w:rsidRPr="003F0DBC">
        <w:t xml:space="preserve"> </w:t>
      </w:r>
      <w:r w:rsidR="007C0A5B" w:rsidRPr="003F0DBC">
        <w:t xml:space="preserve">tại </w:t>
      </w:r>
      <w:r w:rsidR="00A66F8D" w:rsidRPr="003F0DBC">
        <w:rPr>
          <w:b/>
        </w:rPr>
        <w:t>1</w:t>
      </w:r>
      <w:r w:rsidR="00D25F0B" w:rsidRPr="003F0DBC">
        <w:rPr>
          <w:b/>
        </w:rPr>
        <w:t>9</w:t>
      </w:r>
      <w:r w:rsidR="00A66F8D" w:rsidRPr="003F0DBC">
        <w:rPr>
          <w:b/>
        </w:rPr>
        <w:t xml:space="preserve"> </w:t>
      </w:r>
      <w:r w:rsidR="00DF10DC" w:rsidRPr="003F0DBC">
        <w:t xml:space="preserve">dự thảo </w:t>
      </w:r>
      <w:r w:rsidR="00232217" w:rsidRPr="003F0DBC">
        <w:t>VB</w:t>
      </w:r>
      <w:r w:rsidR="00DF10DC" w:rsidRPr="003F0DBC">
        <w:t>QPPL</w:t>
      </w:r>
      <w:r w:rsidR="00D477FD" w:rsidRPr="003F0DBC">
        <w:rPr>
          <w:rStyle w:val="FootnoteReference"/>
          <w:b/>
        </w:rPr>
        <w:footnoteReference w:id="9"/>
      </w:r>
      <w:r w:rsidRPr="003F0DBC">
        <w:t xml:space="preserve">. </w:t>
      </w:r>
      <w:r w:rsidR="00E4401E" w:rsidRPr="003F0DBC">
        <w:t xml:space="preserve"> </w:t>
      </w:r>
      <w:r w:rsidR="00EE3651" w:rsidRPr="003F0DBC">
        <w:t>T</w:t>
      </w:r>
      <w:r w:rsidR="00CF1EDA" w:rsidRPr="003F0DBC">
        <w:t>ính t</w:t>
      </w:r>
      <w:r w:rsidR="00EE3651" w:rsidRPr="003F0DBC">
        <w:t xml:space="preserve">rong </w:t>
      </w:r>
      <w:r w:rsidR="00CB6B35" w:rsidRPr="003F0DBC">
        <w:t xml:space="preserve">5 </w:t>
      </w:r>
      <w:r w:rsidR="00EE3651" w:rsidRPr="003F0DBC">
        <w:t>tháng đầu năm</w:t>
      </w:r>
      <w:r w:rsidR="007C25AE" w:rsidRPr="003F0DBC">
        <w:t xml:space="preserve">, có </w:t>
      </w:r>
      <w:r w:rsidR="00CB6B35" w:rsidRPr="003F0DBC">
        <w:rPr>
          <w:b/>
        </w:rPr>
        <w:t>392</w:t>
      </w:r>
      <w:r w:rsidR="00CB6B35" w:rsidRPr="003F0DBC">
        <w:t xml:space="preserve"> </w:t>
      </w:r>
      <w:r w:rsidR="007C25AE" w:rsidRPr="003F0DBC">
        <w:t xml:space="preserve">TTHC tại </w:t>
      </w:r>
      <w:r w:rsidR="00CB6B35" w:rsidRPr="003F0DBC">
        <w:rPr>
          <w:b/>
        </w:rPr>
        <w:t>115</w:t>
      </w:r>
      <w:r w:rsidR="00CB6B35" w:rsidRPr="003F0DBC">
        <w:t xml:space="preserve"> </w:t>
      </w:r>
      <w:r w:rsidR="007C25AE" w:rsidRPr="003F0DBC">
        <w:t>dự thảo VBQPPL</w:t>
      </w:r>
      <w:r w:rsidR="00536B21" w:rsidRPr="003F0DBC">
        <w:rPr>
          <w:rStyle w:val="FootnoteReference"/>
          <w:b/>
        </w:rPr>
        <w:footnoteReference w:id="10"/>
      </w:r>
      <w:r w:rsidR="007C25AE" w:rsidRPr="003F0DBC">
        <w:t xml:space="preserve"> được đánh giá tác động và </w:t>
      </w:r>
      <w:r w:rsidR="00CB6B35" w:rsidRPr="003F0DBC">
        <w:rPr>
          <w:b/>
        </w:rPr>
        <w:t xml:space="preserve">611 </w:t>
      </w:r>
      <w:r w:rsidR="007C25AE" w:rsidRPr="003F0DBC">
        <w:t xml:space="preserve">TTHC tại </w:t>
      </w:r>
      <w:r w:rsidR="00CB6B35" w:rsidRPr="003F0DBC">
        <w:rPr>
          <w:b/>
        </w:rPr>
        <w:t>13</w:t>
      </w:r>
      <w:r w:rsidR="00253A6B" w:rsidRPr="003F0DBC">
        <w:rPr>
          <w:b/>
        </w:rPr>
        <w:t>1</w:t>
      </w:r>
      <w:r w:rsidR="00CB6B35" w:rsidRPr="003F0DBC">
        <w:t xml:space="preserve"> </w:t>
      </w:r>
      <w:r w:rsidR="007C25AE" w:rsidRPr="003F0DBC">
        <w:t>dự thảo VBQPPL được thẩm định</w:t>
      </w:r>
      <w:r w:rsidR="008A7839" w:rsidRPr="003F0DBC">
        <w:rPr>
          <w:rStyle w:val="FootnoteReference"/>
          <w:b/>
        </w:rPr>
        <w:footnoteReference w:id="11"/>
      </w:r>
      <w:r w:rsidR="007C25AE" w:rsidRPr="003F0DBC">
        <w:t>.</w:t>
      </w:r>
    </w:p>
    <w:p w14:paraId="61BFA647" w14:textId="2FC0E1A7" w:rsidR="00D07C31" w:rsidRPr="003F0DBC" w:rsidRDefault="007C25AE" w:rsidP="00C2663D">
      <w:pPr>
        <w:spacing w:before="60" w:after="80"/>
        <w:ind w:firstLine="720"/>
        <w:jc w:val="both"/>
      </w:pPr>
      <w:r w:rsidRPr="003F0DBC">
        <w:t xml:space="preserve">- </w:t>
      </w:r>
      <w:r w:rsidR="007C26D9" w:rsidRPr="003F0DBC">
        <w:t>Văn phòng Chính phủ</w:t>
      </w:r>
      <w:r w:rsidR="0088393C" w:rsidRPr="003F0DBC">
        <w:t xml:space="preserve"> </w:t>
      </w:r>
      <w:r w:rsidR="00F040A1" w:rsidRPr="003F0DBC">
        <w:t xml:space="preserve">đã </w:t>
      </w:r>
      <w:r w:rsidR="00377E10" w:rsidRPr="003F0DBC">
        <w:t xml:space="preserve">thực hiện </w:t>
      </w:r>
      <w:r w:rsidR="00F040A1" w:rsidRPr="003F0DBC">
        <w:t xml:space="preserve">thẩm tra </w:t>
      </w:r>
      <w:r w:rsidR="00C3127E" w:rsidRPr="003F0DBC">
        <w:t xml:space="preserve">đối với </w:t>
      </w:r>
      <w:r w:rsidR="00A66F8D" w:rsidRPr="003F0DBC">
        <w:rPr>
          <w:b/>
        </w:rPr>
        <w:t xml:space="preserve">24 </w:t>
      </w:r>
      <w:r w:rsidR="00E05367" w:rsidRPr="003F0DBC">
        <w:t>TTHC</w:t>
      </w:r>
      <w:r w:rsidR="00A66F8D" w:rsidRPr="003F0DBC">
        <w:t xml:space="preserve">, </w:t>
      </w:r>
      <w:r w:rsidR="002455C8" w:rsidRPr="003F0DBC">
        <w:rPr>
          <w:b/>
        </w:rPr>
        <w:t>13</w:t>
      </w:r>
      <w:r w:rsidR="00A66F8D" w:rsidRPr="003F0DBC">
        <w:t xml:space="preserve"> </w:t>
      </w:r>
      <w:r w:rsidR="000A62FB" w:rsidRPr="003F0DBC">
        <w:t>quy định liên quan đến hoạt động kinh doanh (QĐKD)</w:t>
      </w:r>
      <w:r w:rsidR="00EC3592" w:rsidRPr="003F0DBC">
        <w:t xml:space="preserve"> </w:t>
      </w:r>
      <w:r w:rsidR="00EC06C7" w:rsidRPr="003F0DBC">
        <w:t xml:space="preserve">tại </w:t>
      </w:r>
      <w:r w:rsidR="00A66F8D" w:rsidRPr="003F0DBC">
        <w:rPr>
          <w:b/>
        </w:rPr>
        <w:t xml:space="preserve">06 </w:t>
      </w:r>
      <w:r w:rsidR="00F040A1" w:rsidRPr="003F0DBC">
        <w:t>dự thảo</w:t>
      </w:r>
      <w:r w:rsidR="00594038" w:rsidRPr="003F0DBC">
        <w:t xml:space="preserve"> </w:t>
      </w:r>
      <w:r w:rsidR="008478DD" w:rsidRPr="003F0DBC">
        <w:t>VBQPPL</w:t>
      </w:r>
      <w:r w:rsidR="008478DD" w:rsidRPr="003F0DBC">
        <w:rPr>
          <w:rStyle w:val="FootnoteReference"/>
          <w:b/>
        </w:rPr>
        <w:footnoteReference w:id="12"/>
      </w:r>
      <w:r w:rsidR="00201188" w:rsidRPr="003F0DBC">
        <w:t>, t</w:t>
      </w:r>
      <w:r w:rsidR="00FF2041" w:rsidRPr="003F0DBC">
        <w:t xml:space="preserve">rong đó, </w:t>
      </w:r>
      <w:r w:rsidR="00F040A1" w:rsidRPr="003F0DBC">
        <w:t xml:space="preserve">đề nghị </w:t>
      </w:r>
      <w:r w:rsidR="008478DD" w:rsidRPr="003F0DBC">
        <w:t xml:space="preserve">không quy định </w:t>
      </w:r>
      <w:r w:rsidR="00166E68" w:rsidRPr="003F0DBC">
        <w:rPr>
          <w:b/>
        </w:rPr>
        <w:t>0</w:t>
      </w:r>
      <w:r w:rsidR="00F116EE" w:rsidRPr="003F0DBC">
        <w:rPr>
          <w:b/>
        </w:rPr>
        <w:t>1</w:t>
      </w:r>
      <w:r w:rsidR="008478DD" w:rsidRPr="003F0DBC">
        <w:t xml:space="preserve"> TTHC</w:t>
      </w:r>
      <w:r w:rsidR="002455C8" w:rsidRPr="003F0DBC">
        <w:t xml:space="preserve">, </w:t>
      </w:r>
      <w:r w:rsidR="002455C8" w:rsidRPr="003F0DBC">
        <w:rPr>
          <w:b/>
        </w:rPr>
        <w:t>02</w:t>
      </w:r>
      <w:r w:rsidR="002455C8" w:rsidRPr="003F0DBC">
        <w:t xml:space="preserve"> QĐKD</w:t>
      </w:r>
      <w:r w:rsidR="008478DD" w:rsidRPr="003F0DBC">
        <w:t xml:space="preserve">, sửa đổi bổ sung </w:t>
      </w:r>
      <w:r w:rsidR="002455C8" w:rsidRPr="003F0DBC">
        <w:rPr>
          <w:b/>
        </w:rPr>
        <w:t>16</w:t>
      </w:r>
      <w:r w:rsidR="002455C8" w:rsidRPr="003F0DBC">
        <w:t xml:space="preserve"> </w:t>
      </w:r>
      <w:r w:rsidR="008478DD" w:rsidRPr="003F0DBC">
        <w:t>TTHC</w:t>
      </w:r>
      <w:r w:rsidR="0036786B" w:rsidRPr="003F0DBC">
        <w:t xml:space="preserve">, </w:t>
      </w:r>
      <w:r w:rsidR="002455C8" w:rsidRPr="003F0DBC">
        <w:rPr>
          <w:b/>
        </w:rPr>
        <w:t>11</w:t>
      </w:r>
      <w:r w:rsidR="002455C8" w:rsidRPr="003F0DBC">
        <w:t xml:space="preserve"> QĐKD, </w:t>
      </w:r>
      <w:r w:rsidR="00451D96" w:rsidRPr="003F0DBC">
        <w:t xml:space="preserve">chiếm </w:t>
      </w:r>
      <w:r w:rsidR="00A368E6" w:rsidRPr="003F0DBC">
        <w:rPr>
          <w:b/>
        </w:rPr>
        <w:t>81</w:t>
      </w:r>
      <w:r w:rsidR="00451D96" w:rsidRPr="003F0DBC">
        <w:t>%</w:t>
      </w:r>
      <w:r w:rsidR="0036786B" w:rsidRPr="003F0DBC">
        <w:t xml:space="preserve"> (</w:t>
      </w:r>
      <w:r w:rsidR="00A368E6" w:rsidRPr="003F0DBC">
        <w:t>30</w:t>
      </w:r>
      <w:r w:rsidR="0036786B" w:rsidRPr="003F0DBC">
        <w:t>/</w:t>
      </w:r>
      <w:r w:rsidR="00A368E6" w:rsidRPr="003F0DBC">
        <w:t xml:space="preserve">37 </w:t>
      </w:r>
      <w:r w:rsidR="0036786B" w:rsidRPr="003F0DBC">
        <w:t>TTHC</w:t>
      </w:r>
      <w:r w:rsidR="00EC3592" w:rsidRPr="003F0DBC">
        <w:t>, QĐKD</w:t>
      </w:r>
      <w:r w:rsidR="00451D96" w:rsidRPr="003F0DBC">
        <w:t>)</w:t>
      </w:r>
      <w:r w:rsidR="003366E9" w:rsidRPr="003F0DBC">
        <w:t>, n</w:t>
      </w:r>
      <w:r w:rsidRPr="003F0DBC">
        <w:t xml:space="preserve">âng tổng số TTHC, QĐKD được thẩm tra trong </w:t>
      </w:r>
      <w:r w:rsidR="00A368E6" w:rsidRPr="003F0DBC">
        <w:t xml:space="preserve">5 </w:t>
      </w:r>
      <w:r w:rsidR="00EE3651" w:rsidRPr="003F0DBC">
        <w:t>tháng đầu năm</w:t>
      </w:r>
      <w:r w:rsidRPr="003F0DBC">
        <w:t xml:space="preserve"> </w:t>
      </w:r>
      <w:r w:rsidR="00C27DE7" w:rsidRPr="003F0DBC">
        <w:t xml:space="preserve">2025 </w:t>
      </w:r>
      <w:r w:rsidRPr="003F0DBC">
        <w:t xml:space="preserve">là </w:t>
      </w:r>
      <w:r w:rsidR="00A368E6" w:rsidRPr="003F0DBC">
        <w:rPr>
          <w:b/>
        </w:rPr>
        <w:t xml:space="preserve">347 </w:t>
      </w:r>
      <w:r w:rsidR="005E7379" w:rsidRPr="003F0DBC">
        <w:t xml:space="preserve">TTHC, </w:t>
      </w:r>
      <w:r w:rsidR="00A368E6" w:rsidRPr="003F0DBC">
        <w:rPr>
          <w:b/>
        </w:rPr>
        <w:t xml:space="preserve">42 </w:t>
      </w:r>
      <w:r w:rsidR="005E7379" w:rsidRPr="003F0DBC">
        <w:t xml:space="preserve">QĐKD tại </w:t>
      </w:r>
      <w:r w:rsidR="00A368E6" w:rsidRPr="003F0DBC">
        <w:rPr>
          <w:b/>
        </w:rPr>
        <w:t>49</w:t>
      </w:r>
      <w:r w:rsidR="00A368E6" w:rsidRPr="003F0DBC">
        <w:t xml:space="preserve"> </w:t>
      </w:r>
      <w:r w:rsidR="005E7379" w:rsidRPr="003F0DBC">
        <w:t xml:space="preserve">VBQPPL, trong đó đã đề nghị không quy định </w:t>
      </w:r>
      <w:r w:rsidR="00A368E6" w:rsidRPr="003F0DBC">
        <w:rPr>
          <w:b/>
        </w:rPr>
        <w:t xml:space="preserve">11 </w:t>
      </w:r>
      <w:r w:rsidR="005E7379" w:rsidRPr="003F0DBC">
        <w:t xml:space="preserve">TTHC, sửa đổi, bổ sung </w:t>
      </w:r>
      <w:r w:rsidR="00A368E6" w:rsidRPr="003F0DBC">
        <w:rPr>
          <w:b/>
        </w:rPr>
        <w:t xml:space="preserve">193 </w:t>
      </w:r>
      <w:r w:rsidR="005E7379" w:rsidRPr="003F0DBC">
        <w:t xml:space="preserve">TTHC, </w:t>
      </w:r>
      <w:r w:rsidR="00A368E6" w:rsidRPr="003F0DBC">
        <w:rPr>
          <w:b/>
        </w:rPr>
        <w:t>17</w:t>
      </w:r>
      <w:r w:rsidR="00A368E6" w:rsidRPr="003F0DBC">
        <w:t xml:space="preserve"> </w:t>
      </w:r>
      <w:r w:rsidR="005E7379" w:rsidRPr="003F0DBC">
        <w:t xml:space="preserve">QĐKD (chiếm </w:t>
      </w:r>
      <w:r w:rsidR="00A368E6" w:rsidRPr="003F0DBC">
        <w:t>56</w:t>
      </w:r>
      <w:r w:rsidR="00F116EE" w:rsidRPr="003F0DBC">
        <w:t>,</w:t>
      </w:r>
      <w:r w:rsidR="00A368E6" w:rsidRPr="003F0DBC">
        <w:t>8</w:t>
      </w:r>
      <w:r w:rsidR="00401262" w:rsidRPr="003F0DBC">
        <w:t xml:space="preserve"> </w:t>
      </w:r>
      <w:r w:rsidR="005E7379" w:rsidRPr="003F0DBC">
        <w:t>%).</w:t>
      </w:r>
    </w:p>
    <w:p w14:paraId="02241A7B" w14:textId="295E44D8" w:rsidR="009E4C37" w:rsidRPr="003F0DBC" w:rsidRDefault="00377E10" w:rsidP="00C2663D">
      <w:pPr>
        <w:shd w:val="clear" w:color="auto" w:fill="FFFFFF"/>
        <w:spacing w:before="60" w:after="80"/>
        <w:ind w:firstLine="720"/>
        <w:jc w:val="both"/>
        <w:rPr>
          <w:bCs/>
          <w:i/>
          <w:lang w:val="en-US"/>
        </w:rPr>
      </w:pPr>
      <w:r w:rsidRPr="003F0DBC">
        <w:rPr>
          <w:iCs/>
        </w:rPr>
        <w:t xml:space="preserve">- </w:t>
      </w:r>
      <w:r w:rsidR="007C25AE" w:rsidRPr="003F0DBC">
        <w:rPr>
          <w:iCs/>
        </w:rPr>
        <w:t>Về việc quy định TTHC tại bộ, cơ quan, địa phương: Trong tháng, c</w:t>
      </w:r>
      <w:r w:rsidR="00B4269E" w:rsidRPr="003F0DBC">
        <w:rPr>
          <w:iCs/>
        </w:rPr>
        <w:t xml:space="preserve">ó </w:t>
      </w:r>
      <w:r w:rsidR="002455C8" w:rsidRPr="003F0DBC">
        <w:rPr>
          <w:b/>
          <w:iCs/>
        </w:rPr>
        <w:t>09</w:t>
      </w:r>
      <w:r w:rsidR="002455C8" w:rsidRPr="003F0DBC">
        <w:rPr>
          <w:iCs/>
        </w:rPr>
        <w:t xml:space="preserve"> </w:t>
      </w:r>
      <w:r w:rsidR="00C3127E" w:rsidRPr="003F0DBC">
        <w:rPr>
          <w:iCs/>
        </w:rPr>
        <w:t>bộ</w:t>
      </w:r>
      <w:r w:rsidR="00C3127E" w:rsidRPr="003F0DBC">
        <w:rPr>
          <w:rStyle w:val="FootnoteReference"/>
          <w:b/>
          <w:iCs/>
        </w:rPr>
        <w:footnoteReference w:id="13"/>
      </w:r>
      <w:r w:rsidR="00C3127E" w:rsidRPr="003F0DBC">
        <w:rPr>
          <w:iCs/>
        </w:rPr>
        <w:t xml:space="preserve"> </w:t>
      </w:r>
      <w:r w:rsidR="00850EF3" w:rsidRPr="003F0DBC">
        <w:rPr>
          <w:iCs/>
        </w:rPr>
        <w:t xml:space="preserve">công bố </w:t>
      </w:r>
      <w:r w:rsidR="002455C8" w:rsidRPr="003F0DBC">
        <w:rPr>
          <w:b/>
          <w:iCs/>
        </w:rPr>
        <w:t>13</w:t>
      </w:r>
      <w:r w:rsidR="002455C8" w:rsidRPr="003F0DBC">
        <w:rPr>
          <w:iCs/>
        </w:rPr>
        <w:t xml:space="preserve"> </w:t>
      </w:r>
      <w:r w:rsidR="00850EF3" w:rsidRPr="003F0DBC">
        <w:rPr>
          <w:iCs/>
        </w:rPr>
        <w:t>Quyết định để quy định</w:t>
      </w:r>
      <w:r w:rsidR="00C3127E" w:rsidRPr="003F0DBC">
        <w:rPr>
          <w:iCs/>
        </w:rPr>
        <w:t xml:space="preserve"> mới</w:t>
      </w:r>
      <w:r w:rsidR="00850EF3" w:rsidRPr="003F0DBC">
        <w:rPr>
          <w:iCs/>
        </w:rPr>
        <w:t xml:space="preserve"> </w:t>
      </w:r>
      <w:r w:rsidR="002455C8" w:rsidRPr="003F0DBC">
        <w:rPr>
          <w:b/>
          <w:iCs/>
        </w:rPr>
        <w:t>19</w:t>
      </w:r>
      <w:r w:rsidR="002455C8" w:rsidRPr="003F0DBC">
        <w:rPr>
          <w:iCs/>
        </w:rPr>
        <w:t xml:space="preserve"> </w:t>
      </w:r>
      <w:r w:rsidR="00B4269E" w:rsidRPr="003F0DBC">
        <w:rPr>
          <w:iCs/>
        </w:rPr>
        <w:t xml:space="preserve">TTHC, </w:t>
      </w:r>
      <w:r w:rsidR="00C3127E" w:rsidRPr="003F0DBC">
        <w:rPr>
          <w:iCs/>
        </w:rPr>
        <w:t xml:space="preserve">sửa đổi, bổ sung </w:t>
      </w:r>
      <w:r w:rsidR="002455C8" w:rsidRPr="003F0DBC">
        <w:rPr>
          <w:b/>
          <w:iCs/>
        </w:rPr>
        <w:t>52</w:t>
      </w:r>
      <w:r w:rsidR="002455C8" w:rsidRPr="003F0DBC">
        <w:rPr>
          <w:iCs/>
        </w:rPr>
        <w:t xml:space="preserve"> </w:t>
      </w:r>
      <w:r w:rsidR="00B4269E" w:rsidRPr="003F0DBC">
        <w:rPr>
          <w:iCs/>
        </w:rPr>
        <w:t xml:space="preserve">TTHC và </w:t>
      </w:r>
      <w:r w:rsidR="00C3127E" w:rsidRPr="003F0DBC">
        <w:rPr>
          <w:iCs/>
        </w:rPr>
        <w:t xml:space="preserve">bãi bỏ </w:t>
      </w:r>
      <w:r w:rsidR="002455C8" w:rsidRPr="003F0DBC">
        <w:rPr>
          <w:b/>
          <w:iCs/>
        </w:rPr>
        <w:t>22</w:t>
      </w:r>
      <w:r w:rsidR="002455C8" w:rsidRPr="003F0DBC">
        <w:rPr>
          <w:iCs/>
        </w:rPr>
        <w:t xml:space="preserve"> </w:t>
      </w:r>
      <w:r w:rsidR="00B4269E" w:rsidRPr="003F0DBC">
        <w:rPr>
          <w:iCs/>
        </w:rPr>
        <w:t xml:space="preserve">TTHC </w:t>
      </w:r>
      <w:r w:rsidR="00C3127E" w:rsidRPr="003F0DBC">
        <w:rPr>
          <w:iCs/>
        </w:rPr>
        <w:t xml:space="preserve">quy định </w:t>
      </w:r>
      <w:r w:rsidR="00B4269E" w:rsidRPr="003F0DBC">
        <w:rPr>
          <w:bCs/>
          <w:lang w:val="en-US"/>
        </w:rPr>
        <w:t xml:space="preserve">tại </w:t>
      </w:r>
      <w:r w:rsidR="002455C8" w:rsidRPr="003F0DBC">
        <w:rPr>
          <w:b/>
          <w:bCs/>
          <w:lang w:val="en-US"/>
        </w:rPr>
        <w:t xml:space="preserve">19 </w:t>
      </w:r>
      <w:r w:rsidR="00B4269E" w:rsidRPr="003F0DBC">
        <w:rPr>
          <w:bCs/>
          <w:lang w:val="en-US"/>
        </w:rPr>
        <w:t>VBQPPL thuộc phạm vi quản lý</w:t>
      </w:r>
      <w:r w:rsidR="001B17CF" w:rsidRPr="003F0DBC">
        <w:rPr>
          <w:bCs/>
          <w:lang w:val="en-US"/>
        </w:rPr>
        <w:t xml:space="preserve"> </w:t>
      </w:r>
      <w:r w:rsidR="001B17CF" w:rsidRPr="003F0DBC">
        <w:rPr>
          <w:bCs/>
          <w:i/>
          <w:lang w:val="en-US"/>
        </w:rPr>
        <w:t>(Chi tiết tại Phụ lục I).</w:t>
      </w:r>
      <w:r w:rsidR="004B65A6" w:rsidRPr="003F0DBC">
        <w:rPr>
          <w:bCs/>
          <w:i/>
          <w:lang w:val="en-US"/>
        </w:rPr>
        <w:t xml:space="preserve"> </w:t>
      </w:r>
      <w:r w:rsidR="004B65A6" w:rsidRPr="003F0DBC">
        <w:rPr>
          <w:bCs/>
          <w:lang w:val="en-US"/>
        </w:rPr>
        <w:t>Ngoài ra,</w:t>
      </w:r>
      <w:r w:rsidR="001B17CF" w:rsidRPr="003F0DBC">
        <w:rPr>
          <w:bCs/>
          <w:i/>
          <w:lang w:val="en-US"/>
        </w:rPr>
        <w:t xml:space="preserve"> </w:t>
      </w:r>
      <w:r w:rsidR="007B3B80" w:rsidRPr="003F0DBC">
        <w:rPr>
          <w:iCs/>
        </w:rPr>
        <w:t>Bộ Nông nghiệp và Môi trường đã</w:t>
      </w:r>
      <w:r w:rsidR="00347058" w:rsidRPr="003F0DBC">
        <w:rPr>
          <w:iCs/>
        </w:rPr>
        <w:t xml:space="preserve"> ban hành </w:t>
      </w:r>
      <w:r w:rsidR="00347058" w:rsidRPr="003F0DBC">
        <w:rPr>
          <w:b/>
          <w:iCs/>
        </w:rPr>
        <w:t>03</w:t>
      </w:r>
      <w:r w:rsidR="00347058" w:rsidRPr="003F0DBC">
        <w:rPr>
          <w:iCs/>
        </w:rPr>
        <w:t xml:space="preserve"> Quyết định</w:t>
      </w:r>
      <w:r w:rsidR="00156EB6" w:rsidRPr="003F0DBC">
        <w:rPr>
          <w:rStyle w:val="FootnoteReference"/>
          <w:b/>
          <w:iCs/>
        </w:rPr>
        <w:footnoteReference w:id="14"/>
      </w:r>
      <w:r w:rsidR="00347058" w:rsidRPr="003F0DBC">
        <w:rPr>
          <w:iCs/>
        </w:rPr>
        <w:t xml:space="preserve"> để</w:t>
      </w:r>
      <w:r w:rsidR="007B3B80" w:rsidRPr="003F0DBC">
        <w:rPr>
          <w:iCs/>
        </w:rPr>
        <w:t xml:space="preserve"> công bố chuẩn hóa </w:t>
      </w:r>
      <w:r w:rsidR="00156EB6" w:rsidRPr="003F0DBC">
        <w:rPr>
          <w:b/>
          <w:iCs/>
        </w:rPr>
        <w:t>97</w:t>
      </w:r>
      <w:r w:rsidR="00347058" w:rsidRPr="003F0DBC">
        <w:rPr>
          <w:iCs/>
        </w:rPr>
        <w:t xml:space="preserve"> </w:t>
      </w:r>
      <w:r w:rsidR="007B3B80" w:rsidRPr="003F0DBC">
        <w:rPr>
          <w:iCs/>
        </w:rPr>
        <w:t xml:space="preserve">TTHC </w:t>
      </w:r>
      <w:r w:rsidR="00347058" w:rsidRPr="003F0DBC">
        <w:rPr>
          <w:iCs/>
        </w:rPr>
        <w:t xml:space="preserve">trên </w:t>
      </w:r>
      <w:r w:rsidR="007B3B80" w:rsidRPr="003F0DBC">
        <w:rPr>
          <w:iCs/>
        </w:rPr>
        <w:t>các lĩnh vực</w:t>
      </w:r>
      <w:r w:rsidR="00347058" w:rsidRPr="003F0DBC">
        <w:rPr>
          <w:iCs/>
        </w:rPr>
        <w:t xml:space="preserve"> thuộc phạm vi chức năng quản lý của Bộ</w:t>
      </w:r>
      <w:r w:rsidR="00156EB6" w:rsidRPr="003F0DBC">
        <w:rPr>
          <w:rStyle w:val="FootnoteReference"/>
          <w:b/>
          <w:iCs/>
        </w:rPr>
        <w:footnoteReference w:id="15"/>
      </w:r>
      <w:r w:rsidR="00204322" w:rsidRPr="003F0DBC">
        <w:rPr>
          <w:iCs/>
        </w:rPr>
        <w:t>.</w:t>
      </w:r>
    </w:p>
    <w:p w14:paraId="105AE124" w14:textId="1F058B45" w:rsidR="000C1F78" w:rsidRPr="003F0DBC" w:rsidRDefault="00F77444" w:rsidP="00C2663D">
      <w:pPr>
        <w:pStyle w:val="BodyTextIndent"/>
        <w:tabs>
          <w:tab w:val="left" w:pos="840"/>
        </w:tabs>
        <w:spacing w:before="60" w:after="80"/>
        <w:ind w:right="0"/>
        <w:rPr>
          <w:rFonts w:ascii="Times New Roman" w:hAnsi="Times New Roman"/>
          <w:b/>
          <w:i/>
          <w:szCs w:val="28"/>
        </w:rPr>
      </w:pPr>
      <w:r w:rsidRPr="003F0DBC">
        <w:rPr>
          <w:rFonts w:ascii="Times New Roman" w:hAnsi="Times New Roman"/>
          <w:b/>
          <w:i/>
          <w:szCs w:val="28"/>
        </w:rPr>
        <w:t>b)</w:t>
      </w:r>
      <w:r w:rsidR="000C1F78" w:rsidRPr="003F0DBC">
        <w:rPr>
          <w:rFonts w:ascii="Times New Roman" w:hAnsi="Times New Roman"/>
          <w:b/>
          <w:i/>
          <w:szCs w:val="28"/>
        </w:rPr>
        <w:t xml:space="preserve"> </w:t>
      </w:r>
      <w:r w:rsidR="000A0621" w:rsidRPr="003F0DBC">
        <w:rPr>
          <w:rFonts w:ascii="Times New Roman" w:hAnsi="Times New Roman"/>
          <w:b/>
          <w:i/>
          <w:szCs w:val="28"/>
        </w:rPr>
        <w:t>Kết quả cắt giảm, đơn giản hóa quy định, TTHC</w:t>
      </w:r>
      <w:r w:rsidR="00D04BC5" w:rsidRPr="003F0DBC">
        <w:rPr>
          <w:rFonts w:ascii="Times New Roman" w:hAnsi="Times New Roman"/>
          <w:b/>
          <w:i/>
          <w:szCs w:val="28"/>
        </w:rPr>
        <w:t>:</w:t>
      </w:r>
    </w:p>
    <w:p w14:paraId="6D86D33B" w14:textId="77777777" w:rsidR="00B85ED6" w:rsidRPr="003F0DBC" w:rsidRDefault="00B85ED6" w:rsidP="00C2663D">
      <w:pPr>
        <w:spacing w:before="60" w:after="80"/>
        <w:ind w:firstLine="720"/>
        <w:jc w:val="both"/>
        <w:rPr>
          <w:i/>
        </w:rPr>
      </w:pPr>
      <w:r w:rsidRPr="003F0DBC">
        <w:rPr>
          <w:i/>
        </w:rPr>
        <w:t>(1) Tình hình, kết quả triển khai Nghị quyết số 66/NQ-CP ngày 26 tháng 3 năm 2025 của Chính phủ:</w:t>
      </w:r>
    </w:p>
    <w:p w14:paraId="1FBE147C" w14:textId="4AA49B67" w:rsidR="009B6651" w:rsidRPr="003F0DBC" w:rsidRDefault="0047257C" w:rsidP="00C2663D">
      <w:pPr>
        <w:pStyle w:val="NormalWeb"/>
        <w:shd w:val="clear" w:color="auto" w:fill="FFFFFF"/>
        <w:spacing w:before="60" w:beforeAutospacing="0" w:after="80" w:afterAutospacing="0"/>
        <w:ind w:firstLine="720"/>
        <w:jc w:val="both"/>
        <w:rPr>
          <w:sz w:val="28"/>
          <w:szCs w:val="28"/>
        </w:rPr>
      </w:pPr>
      <w:r w:rsidRPr="003F0DBC">
        <w:rPr>
          <w:sz w:val="28"/>
          <w:szCs w:val="28"/>
        </w:rPr>
        <w:t xml:space="preserve">Triển khai thực hiện Nghị quyết của Chính phủ về Chương trình cắt giảm, đơn giản hóa TTHC liên quan đến hoạt động sản xuất, kinh doanh năm 2025 và 2026, </w:t>
      </w:r>
      <w:r w:rsidR="009B6651" w:rsidRPr="003F0DBC">
        <w:rPr>
          <w:sz w:val="28"/>
          <w:szCs w:val="28"/>
        </w:rPr>
        <w:t xml:space="preserve">đến ngày 20 tháng 5 năm 2025, các bộ, cơ quan, địa phương đã tổng hợp, thống kê, công bố </w:t>
      </w:r>
      <w:r w:rsidR="009B6651" w:rsidRPr="003F0DBC">
        <w:rPr>
          <w:b/>
          <w:sz w:val="28"/>
          <w:szCs w:val="28"/>
        </w:rPr>
        <w:t>6.358</w:t>
      </w:r>
      <w:r w:rsidR="009B6651" w:rsidRPr="003F0DBC">
        <w:rPr>
          <w:sz w:val="28"/>
          <w:szCs w:val="28"/>
        </w:rPr>
        <w:t xml:space="preserve"> TTHC (gồm: 5.801 TTHC thuộc phạm vi quản lý của bộ, </w:t>
      </w:r>
      <w:r w:rsidR="009B6651" w:rsidRPr="003F0DBC">
        <w:rPr>
          <w:sz w:val="28"/>
          <w:szCs w:val="28"/>
        </w:rPr>
        <w:lastRenderedPageBreak/>
        <w:t xml:space="preserve">ngành; 557 TTHC được quy định tại VBQPPL của địa phương), có </w:t>
      </w:r>
      <w:r w:rsidR="003D29D1" w:rsidRPr="003F0DBC">
        <w:rPr>
          <w:b/>
          <w:sz w:val="28"/>
          <w:szCs w:val="28"/>
        </w:rPr>
        <w:t>4.377</w:t>
      </w:r>
      <w:r w:rsidR="003D29D1" w:rsidRPr="003F0DBC">
        <w:rPr>
          <w:sz w:val="28"/>
          <w:szCs w:val="28"/>
        </w:rPr>
        <w:t xml:space="preserve"> TTHC</w:t>
      </w:r>
      <w:r w:rsidR="003D29D1" w:rsidRPr="003F0DBC">
        <w:rPr>
          <w:rStyle w:val="FootnoteReference"/>
          <w:b/>
          <w:sz w:val="28"/>
          <w:szCs w:val="28"/>
        </w:rPr>
        <w:footnoteReference w:id="16"/>
      </w:r>
      <w:r w:rsidR="009B6651" w:rsidRPr="003F0DBC">
        <w:rPr>
          <w:b/>
          <w:sz w:val="28"/>
          <w:szCs w:val="28"/>
        </w:rPr>
        <w:t xml:space="preserve"> </w:t>
      </w:r>
      <w:r w:rsidR="009B6651" w:rsidRPr="003F0DBC">
        <w:rPr>
          <w:sz w:val="28"/>
          <w:szCs w:val="28"/>
        </w:rPr>
        <w:t xml:space="preserve">(chiếm 68,8%) liên quan đến hoạt động sản xuất, kinh doanh; </w:t>
      </w:r>
      <w:r w:rsidR="009B6651" w:rsidRPr="003F0DBC">
        <w:rPr>
          <w:b/>
          <w:sz w:val="28"/>
          <w:szCs w:val="28"/>
        </w:rPr>
        <w:t>8.977</w:t>
      </w:r>
      <w:r w:rsidR="009B6651" w:rsidRPr="003F0DBC">
        <w:rPr>
          <w:sz w:val="28"/>
          <w:szCs w:val="28"/>
        </w:rPr>
        <w:t xml:space="preserve"> điều kiện kinh doanh</w:t>
      </w:r>
      <w:r w:rsidR="009B6651" w:rsidRPr="003F0DBC">
        <w:rPr>
          <w:rStyle w:val="FootnoteReference"/>
          <w:b/>
          <w:sz w:val="28"/>
          <w:szCs w:val="28"/>
        </w:rPr>
        <w:footnoteReference w:id="17"/>
      </w:r>
      <w:r w:rsidR="009B6651" w:rsidRPr="003F0DBC">
        <w:rPr>
          <w:sz w:val="28"/>
          <w:szCs w:val="28"/>
        </w:rPr>
        <w:t xml:space="preserve">; </w:t>
      </w:r>
      <w:r w:rsidR="009B6651" w:rsidRPr="003F0DBC">
        <w:rPr>
          <w:b/>
          <w:sz w:val="28"/>
          <w:szCs w:val="28"/>
        </w:rPr>
        <w:t>3.086</w:t>
      </w:r>
      <w:r w:rsidR="009B6651" w:rsidRPr="003F0DBC">
        <w:rPr>
          <w:sz w:val="28"/>
          <w:szCs w:val="28"/>
        </w:rPr>
        <w:t xml:space="preserve"> sản phẩm, hàng hóa kiểm tra chuyên ngành; </w:t>
      </w:r>
      <w:r w:rsidR="009B6651" w:rsidRPr="003F0DBC">
        <w:rPr>
          <w:b/>
          <w:sz w:val="28"/>
          <w:szCs w:val="28"/>
        </w:rPr>
        <w:t xml:space="preserve">886 </w:t>
      </w:r>
      <w:r w:rsidR="009B6651" w:rsidRPr="003F0DBC">
        <w:rPr>
          <w:sz w:val="28"/>
          <w:szCs w:val="28"/>
        </w:rPr>
        <w:t>tiêu chuẩn và quy chuẩn kỹ thuật</w:t>
      </w:r>
      <w:r w:rsidR="009B6651" w:rsidRPr="003F0DBC">
        <w:rPr>
          <w:rStyle w:val="FootnoteReference"/>
          <w:b/>
          <w:sz w:val="28"/>
          <w:szCs w:val="28"/>
        </w:rPr>
        <w:footnoteReference w:id="18"/>
      </w:r>
      <w:r w:rsidR="009B6651" w:rsidRPr="003F0DBC">
        <w:rPr>
          <w:sz w:val="28"/>
          <w:szCs w:val="28"/>
        </w:rPr>
        <w:t xml:space="preserve"> có liên quan đến thực hiện TTHC sản xuất, kinh doanh; </w:t>
      </w:r>
      <w:r w:rsidR="009B6651" w:rsidRPr="003F0DBC">
        <w:rPr>
          <w:b/>
          <w:sz w:val="28"/>
          <w:szCs w:val="28"/>
        </w:rPr>
        <w:t>640</w:t>
      </w:r>
      <w:r w:rsidR="009B6651" w:rsidRPr="003F0DBC">
        <w:rPr>
          <w:sz w:val="28"/>
          <w:szCs w:val="28"/>
        </w:rPr>
        <w:t xml:space="preserve"> chế độ báo cáo của doanh nghiệp; tổng số chi phí tuân thủ TTHC hằng năm là hơn </w:t>
      </w:r>
      <w:r w:rsidR="009B6651" w:rsidRPr="003F0DBC">
        <w:rPr>
          <w:b/>
          <w:sz w:val="28"/>
          <w:szCs w:val="28"/>
        </w:rPr>
        <w:t xml:space="preserve">120 </w:t>
      </w:r>
      <w:r w:rsidR="009B6651" w:rsidRPr="003F0DBC">
        <w:rPr>
          <w:sz w:val="28"/>
          <w:szCs w:val="28"/>
        </w:rPr>
        <w:t>nghìn tỷ đồng/năm; tổng thời gian giải quyết của 4.377 TTHC liên quan đến hoạt động sản xuất, kinh doanh</w:t>
      </w:r>
      <w:r w:rsidR="00202B54" w:rsidRPr="003F0DBC">
        <w:rPr>
          <w:sz w:val="28"/>
          <w:szCs w:val="28"/>
        </w:rPr>
        <w:t xml:space="preserve"> theo quy định</w:t>
      </w:r>
      <w:r w:rsidR="008C729D" w:rsidRPr="003F0DBC">
        <w:rPr>
          <w:sz w:val="28"/>
          <w:szCs w:val="28"/>
        </w:rPr>
        <w:t xml:space="preserve"> là:</w:t>
      </w:r>
      <w:r w:rsidR="00202B54" w:rsidRPr="003F0DBC">
        <w:rPr>
          <w:sz w:val="28"/>
          <w:szCs w:val="28"/>
        </w:rPr>
        <w:t xml:space="preserve"> 185 tháng</w:t>
      </w:r>
      <w:r w:rsidR="008C729D" w:rsidRPr="003F0DBC">
        <w:rPr>
          <w:sz w:val="28"/>
          <w:szCs w:val="28"/>
        </w:rPr>
        <w:t>,</w:t>
      </w:r>
      <w:r w:rsidR="00202B54" w:rsidRPr="003F0DBC">
        <w:rPr>
          <w:sz w:val="28"/>
          <w:szCs w:val="28"/>
        </w:rPr>
        <w:t xml:space="preserve"> 26.267 ngày làm việc</w:t>
      </w:r>
      <w:r w:rsidR="008C729D" w:rsidRPr="003F0DBC">
        <w:rPr>
          <w:sz w:val="28"/>
          <w:szCs w:val="28"/>
        </w:rPr>
        <w:t>,</w:t>
      </w:r>
      <w:r w:rsidR="00202B54" w:rsidRPr="003F0DBC">
        <w:rPr>
          <w:sz w:val="28"/>
          <w:szCs w:val="28"/>
        </w:rPr>
        <w:t xml:space="preserve"> 46.010 ngày</w:t>
      </w:r>
      <w:r w:rsidR="008C729D" w:rsidRPr="003F0DBC">
        <w:rPr>
          <w:sz w:val="28"/>
          <w:szCs w:val="28"/>
        </w:rPr>
        <w:t>,</w:t>
      </w:r>
      <w:r w:rsidR="00202B54" w:rsidRPr="003F0DBC">
        <w:rPr>
          <w:sz w:val="28"/>
          <w:szCs w:val="28"/>
        </w:rPr>
        <w:t xml:space="preserve"> 10.544 giờ làm việc</w:t>
      </w:r>
      <w:r w:rsidR="00903522" w:rsidRPr="003F0DBC">
        <w:rPr>
          <w:sz w:val="28"/>
          <w:szCs w:val="28"/>
        </w:rPr>
        <w:t>,</w:t>
      </w:r>
      <w:r w:rsidR="00202B54" w:rsidRPr="003F0DBC">
        <w:rPr>
          <w:sz w:val="28"/>
          <w:szCs w:val="28"/>
        </w:rPr>
        <w:t xml:space="preserve"> 715 giờ.</w:t>
      </w:r>
    </w:p>
    <w:p w14:paraId="12DE9866" w14:textId="707B561B" w:rsidR="001B3FF2" w:rsidRPr="003F0DBC" w:rsidRDefault="001B17CF" w:rsidP="00C2663D">
      <w:pPr>
        <w:pStyle w:val="NormalWeb"/>
        <w:shd w:val="clear" w:color="auto" w:fill="FFFFFF"/>
        <w:spacing w:before="60" w:beforeAutospacing="0" w:after="80" w:afterAutospacing="0"/>
        <w:ind w:firstLine="720"/>
        <w:jc w:val="both"/>
        <w:rPr>
          <w:sz w:val="28"/>
          <w:szCs w:val="28"/>
          <w:lang w:val="en-US"/>
        </w:rPr>
      </w:pPr>
      <w:r w:rsidRPr="003F0DBC">
        <w:rPr>
          <w:sz w:val="28"/>
          <w:szCs w:val="28"/>
          <w:lang w:val="en-US"/>
        </w:rPr>
        <w:t xml:space="preserve">Trên cơ sở kết quả tổng hợp, thống kê </w:t>
      </w:r>
      <w:r w:rsidR="004973C2" w:rsidRPr="003F0DBC">
        <w:rPr>
          <w:sz w:val="28"/>
          <w:szCs w:val="28"/>
          <w:lang w:val="en-US"/>
        </w:rPr>
        <w:t>TTHC, điều kiện đầu tư kinh doanh thuộc phạm vi chức năng, quản lý của các bộ, cơ quan</w:t>
      </w:r>
      <w:r w:rsidRPr="003F0DBC">
        <w:rPr>
          <w:sz w:val="28"/>
          <w:szCs w:val="28"/>
          <w:lang w:val="en-US"/>
        </w:rPr>
        <w:t>, Văn phòng Chính phủ đã rà soát độc lập, tham gia ý kiến</w:t>
      </w:r>
      <w:r w:rsidR="008A260A" w:rsidRPr="003F0DBC">
        <w:rPr>
          <w:sz w:val="28"/>
          <w:szCs w:val="28"/>
          <w:lang w:val="en-US"/>
        </w:rPr>
        <w:t xml:space="preserve"> đối với nội dung nêu trên</w:t>
      </w:r>
      <w:r w:rsidRPr="003F0DBC">
        <w:rPr>
          <w:rStyle w:val="FootnoteReference"/>
          <w:b/>
          <w:sz w:val="28"/>
          <w:szCs w:val="28"/>
          <w:lang w:val="en-US"/>
        </w:rPr>
        <w:footnoteReference w:id="19"/>
      </w:r>
      <w:r w:rsidR="004973C2" w:rsidRPr="003F0DBC">
        <w:rPr>
          <w:sz w:val="28"/>
          <w:szCs w:val="28"/>
          <w:lang w:val="en-US"/>
        </w:rPr>
        <w:t xml:space="preserve">; </w:t>
      </w:r>
      <w:r w:rsidR="00B1373F" w:rsidRPr="003F0DBC">
        <w:rPr>
          <w:sz w:val="28"/>
          <w:szCs w:val="28"/>
          <w:lang w:val="en-US"/>
        </w:rPr>
        <w:t xml:space="preserve">Hội đồng tư vấn cải cách TTHC của Thủ tướng Chính phủ đã có văn bản </w:t>
      </w:r>
      <w:r w:rsidR="004973C2" w:rsidRPr="003F0DBC">
        <w:rPr>
          <w:sz w:val="28"/>
          <w:szCs w:val="28"/>
          <w:lang w:val="en-US"/>
        </w:rPr>
        <w:t>đề nghị các</w:t>
      </w:r>
      <w:r w:rsidR="00B1373F" w:rsidRPr="003F0DBC">
        <w:rPr>
          <w:sz w:val="28"/>
          <w:szCs w:val="28"/>
          <w:lang w:val="en-US"/>
        </w:rPr>
        <w:t xml:space="preserve"> Thành viên </w:t>
      </w:r>
      <w:r w:rsidR="004973C2" w:rsidRPr="003F0DBC">
        <w:rPr>
          <w:sz w:val="28"/>
          <w:szCs w:val="28"/>
          <w:lang w:val="en-US"/>
        </w:rPr>
        <w:t>nghiên cứu, cho ý kiến đối với kết quả tổng hợp, thống kê của các bộ, cơ quan</w:t>
      </w:r>
      <w:r w:rsidR="004973C2" w:rsidRPr="003F0DBC">
        <w:rPr>
          <w:rStyle w:val="FootnoteReference"/>
          <w:b/>
          <w:sz w:val="28"/>
          <w:szCs w:val="28"/>
          <w:lang w:val="en-US"/>
        </w:rPr>
        <w:footnoteReference w:id="20"/>
      </w:r>
      <w:r w:rsidR="004973C2" w:rsidRPr="003F0DBC">
        <w:rPr>
          <w:sz w:val="28"/>
          <w:szCs w:val="28"/>
          <w:lang w:val="en-US"/>
        </w:rPr>
        <w:t>.</w:t>
      </w:r>
      <w:r w:rsidR="0018281A" w:rsidRPr="003F0DBC">
        <w:rPr>
          <w:sz w:val="28"/>
          <w:szCs w:val="28"/>
          <w:lang w:val="en-US"/>
        </w:rPr>
        <w:t xml:space="preserve"> Bên cạnh đó, Văn phòng Chính phủ đã có văn bản hướng dẫn các bộ, ngành, địa phương rà soát, công bố danh mục TTHC đủ điều kiện thực hiện dịch vụ công trực tuyến toàn trình, số hóa, tái cấu trúc quy trình, cắt giảm, đơn giản hóa TTHC trên cơ sở tái sử dụng dữ liệu</w:t>
      </w:r>
      <w:r w:rsidR="0018281A" w:rsidRPr="003F0DBC">
        <w:rPr>
          <w:rStyle w:val="FootnoteReference"/>
          <w:b/>
          <w:sz w:val="28"/>
          <w:szCs w:val="28"/>
          <w:lang w:val="en-US"/>
        </w:rPr>
        <w:footnoteReference w:id="21"/>
      </w:r>
      <w:r w:rsidR="00ED3F7B" w:rsidRPr="003F0DBC">
        <w:rPr>
          <w:sz w:val="28"/>
          <w:szCs w:val="28"/>
          <w:lang w:val="en-US"/>
        </w:rPr>
        <w:t xml:space="preserve"> để thực hiện bảo đảm thống nhất, hiệu quả.</w:t>
      </w:r>
    </w:p>
    <w:p w14:paraId="00E82C04" w14:textId="3F15B834" w:rsidR="006B1291" w:rsidRPr="00313034" w:rsidRDefault="006B1291" w:rsidP="00566BED">
      <w:pPr>
        <w:pStyle w:val="NormalWeb"/>
        <w:shd w:val="clear" w:color="auto" w:fill="FFFFFF"/>
        <w:spacing w:before="60" w:beforeAutospacing="0" w:after="80" w:afterAutospacing="0"/>
        <w:ind w:firstLine="720"/>
        <w:jc w:val="both"/>
        <w:rPr>
          <w:b/>
          <w:sz w:val="28"/>
          <w:szCs w:val="28"/>
          <w:lang w:val="en-US"/>
        </w:rPr>
      </w:pPr>
      <w:r w:rsidRPr="003F0DBC">
        <w:rPr>
          <w:sz w:val="28"/>
          <w:szCs w:val="28"/>
          <w:lang w:val="en-US"/>
        </w:rPr>
        <w:t>Hiện nay, các bộ, cơ quan đang tiếp tục rà soát, bổ sung, điều chỉnh thông tin, số liệu về TTHC, điều kiện đầu tư kinh doanh, chế độ báo cáo và chi phí tuân thủ (nếu có) và thực hiện rà soát, cắt giảm, đơn giản hóa TTHC, điều kiện đầu tư kinh doanh bảo đảm hoàn thành các mục tiêu, yêu cầu của Chính phủ và chỉ đạo của Thủ tướng Chính phủ.</w:t>
      </w:r>
    </w:p>
    <w:p w14:paraId="6425B598" w14:textId="6648CEA9" w:rsidR="00C83978" w:rsidRPr="003F0DBC" w:rsidRDefault="00353FDA" w:rsidP="00C2663D">
      <w:pPr>
        <w:spacing w:before="60" w:after="80"/>
        <w:ind w:firstLine="720"/>
        <w:jc w:val="both"/>
      </w:pPr>
      <w:r w:rsidRPr="003F0DBC">
        <w:t>(2)</w:t>
      </w:r>
      <w:r w:rsidRPr="003F0DBC">
        <w:rPr>
          <w:i/>
        </w:rPr>
        <w:t xml:space="preserve"> </w:t>
      </w:r>
      <w:r w:rsidR="00D04BC5" w:rsidRPr="003F0DBC">
        <w:rPr>
          <w:i/>
          <w:spacing w:val="-6"/>
        </w:rPr>
        <w:t>Kết quả p</w:t>
      </w:r>
      <w:r w:rsidR="000A0621" w:rsidRPr="003F0DBC">
        <w:rPr>
          <w:i/>
          <w:spacing w:val="-6"/>
        </w:rPr>
        <w:t xml:space="preserve">hân cấp trong giải quyết TTHC theo Quyết định số 1015/QĐ-TTg </w:t>
      </w:r>
      <w:r w:rsidR="000A0621" w:rsidRPr="003F0DBC">
        <w:rPr>
          <w:i/>
        </w:rPr>
        <w:t>ngày 30 tháng 8 năm 2022 của Thủ tướng Chính phủ</w:t>
      </w:r>
      <w:r w:rsidR="000A0621" w:rsidRPr="003F0DBC">
        <w:t>:</w:t>
      </w:r>
      <w:bookmarkStart w:id="1" w:name="_heading=h.30j0zll" w:colFirst="0" w:colLast="0"/>
      <w:bookmarkStart w:id="2" w:name="_heading=h.ir42kj2s455l" w:colFirst="0" w:colLast="0"/>
      <w:bookmarkEnd w:id="1"/>
      <w:bookmarkEnd w:id="2"/>
    </w:p>
    <w:p w14:paraId="0C2A2043" w14:textId="75B476BE" w:rsidR="00E039DF" w:rsidRPr="003F0DBC" w:rsidRDefault="00DE4A12" w:rsidP="00E039DF">
      <w:pPr>
        <w:spacing w:before="60" w:after="80"/>
        <w:ind w:firstLine="720"/>
        <w:jc w:val="both"/>
        <w:rPr>
          <w:i/>
          <w:spacing w:val="-6"/>
        </w:rPr>
      </w:pPr>
      <w:r w:rsidRPr="003F0DBC">
        <w:rPr>
          <w:i/>
        </w:rPr>
        <w:t xml:space="preserve"> </w:t>
      </w:r>
      <w:r w:rsidR="00CF1EDA" w:rsidRPr="003F0DBC">
        <w:t>C</w:t>
      </w:r>
      <w:r w:rsidR="000802EC" w:rsidRPr="003F0DBC">
        <w:t xml:space="preserve">ác bộ, cơ quan </w:t>
      </w:r>
      <w:r w:rsidR="006B1291" w:rsidRPr="003F0DBC">
        <w:t xml:space="preserve">đang </w:t>
      </w:r>
      <w:r w:rsidR="000802EC" w:rsidRPr="003F0DBC">
        <w:t xml:space="preserve">tiếp tục thực hiện </w:t>
      </w:r>
      <w:r w:rsidR="0089382C" w:rsidRPr="003F0DBC">
        <w:t xml:space="preserve">phương án </w:t>
      </w:r>
      <w:r w:rsidR="000802EC" w:rsidRPr="003F0DBC">
        <w:t>phân cấp trong giải quyết TTHC</w:t>
      </w:r>
      <w:r w:rsidR="0089382C" w:rsidRPr="003F0DBC">
        <w:t xml:space="preserve"> </w:t>
      </w:r>
      <w:r w:rsidR="004B3EDA" w:rsidRPr="003F0DBC">
        <w:t>theo Quyết định của Thủ tướng Chính phủ</w:t>
      </w:r>
      <w:r w:rsidR="0089382C" w:rsidRPr="003F0DBC">
        <w:t xml:space="preserve">. </w:t>
      </w:r>
      <w:r w:rsidR="00E039DF" w:rsidRPr="003F0DBC">
        <w:t>Mặt khác, thực hiện chỉ đạo của Chính phủ, Thủ tướng Chính phủ, các bộ, cơ quan đang rất khẩn trương xây dựng, hoàn thiện phương án phân cấp trong giải quyết TTHC tại các dự thảo nghị định về phân cấp, phân quyền và phân định thẩm quyền để phù hợp với tổ chức bộ máy chính quyền trung ương, địa phương sau khi sắp xếp.</w:t>
      </w:r>
    </w:p>
    <w:p w14:paraId="2532D8A7" w14:textId="46DF6EAA" w:rsidR="00377E10" w:rsidRPr="003F0DBC" w:rsidRDefault="0089382C" w:rsidP="00C2663D">
      <w:pPr>
        <w:spacing w:before="60" w:after="80"/>
        <w:ind w:firstLine="720"/>
        <w:jc w:val="both"/>
        <w:rPr>
          <w:i/>
          <w:spacing w:val="-6"/>
        </w:rPr>
      </w:pPr>
      <w:r w:rsidRPr="003F0DBC">
        <w:t>Tính từ</w:t>
      </w:r>
      <w:r w:rsidR="00BF3589" w:rsidRPr="003F0DBC">
        <w:rPr>
          <w:spacing w:val="-6"/>
        </w:rPr>
        <w:t xml:space="preserve"> năm 2022 đến nay</w:t>
      </w:r>
      <w:r w:rsidR="00A421C8" w:rsidRPr="003F0DBC">
        <w:rPr>
          <w:spacing w:val="-6"/>
        </w:rPr>
        <w:t>, các bộ, cơ quan đã phân cấp được</w:t>
      </w:r>
      <w:r w:rsidR="00BF3589" w:rsidRPr="003F0DBC">
        <w:rPr>
          <w:spacing w:val="-6"/>
        </w:rPr>
        <w:t xml:space="preserve"> </w:t>
      </w:r>
      <w:bookmarkStart w:id="3" w:name="_Hlk165044449"/>
      <w:r w:rsidRPr="003F0DBC">
        <w:rPr>
          <w:b/>
          <w:spacing w:val="-6"/>
        </w:rPr>
        <w:t>392</w:t>
      </w:r>
      <w:r w:rsidR="00BF3589" w:rsidRPr="003F0DBC">
        <w:rPr>
          <w:b/>
          <w:spacing w:val="-6"/>
        </w:rPr>
        <w:t>/699</w:t>
      </w:r>
      <w:r w:rsidR="00BF3589" w:rsidRPr="003F0DBC">
        <w:rPr>
          <w:spacing w:val="-6"/>
        </w:rPr>
        <w:t xml:space="preserve"> TTHC tại </w:t>
      </w:r>
      <w:r w:rsidRPr="003F0DBC">
        <w:rPr>
          <w:b/>
          <w:spacing w:val="-6"/>
        </w:rPr>
        <w:t>89</w:t>
      </w:r>
      <w:r w:rsidR="00BF3589" w:rsidRPr="003F0DBC">
        <w:rPr>
          <w:spacing w:val="-6"/>
        </w:rPr>
        <w:t xml:space="preserve"> VBQPPL</w:t>
      </w:r>
      <w:r w:rsidR="00BF3589" w:rsidRPr="003F0DBC">
        <w:rPr>
          <w:rStyle w:val="FootnoteReference"/>
          <w:b/>
          <w:spacing w:val="-6"/>
        </w:rPr>
        <w:footnoteReference w:id="22"/>
      </w:r>
      <w:bookmarkEnd w:id="3"/>
      <w:r w:rsidR="00CF1EDA" w:rsidRPr="003F0DBC">
        <w:rPr>
          <w:spacing w:val="-6"/>
        </w:rPr>
        <w:t>, đạt 56%</w:t>
      </w:r>
      <w:r w:rsidR="00BF3589" w:rsidRPr="003F0DBC">
        <w:rPr>
          <w:spacing w:val="-6"/>
        </w:rPr>
        <w:t xml:space="preserve">. Tổng số TTHC còn tiếp tục phải thực hiện phân cấp là </w:t>
      </w:r>
      <w:r w:rsidR="00F05AEC" w:rsidRPr="003F0DBC">
        <w:rPr>
          <w:b/>
          <w:spacing w:val="-6"/>
        </w:rPr>
        <w:t>3</w:t>
      </w:r>
      <w:r w:rsidR="009E6213" w:rsidRPr="003F0DBC">
        <w:rPr>
          <w:b/>
          <w:spacing w:val="-6"/>
        </w:rPr>
        <w:t>07</w:t>
      </w:r>
      <w:r w:rsidR="00BF3589" w:rsidRPr="003F0DBC">
        <w:rPr>
          <w:spacing w:val="-6"/>
        </w:rPr>
        <w:t xml:space="preserve"> TTHC</w:t>
      </w:r>
      <w:r w:rsidR="00A421C8" w:rsidRPr="003F0DBC">
        <w:rPr>
          <w:spacing w:val="-6"/>
        </w:rPr>
        <w:t xml:space="preserve"> tại </w:t>
      </w:r>
      <w:r w:rsidR="00EC5DC5" w:rsidRPr="00313034">
        <w:rPr>
          <w:b/>
          <w:spacing w:val="-6"/>
        </w:rPr>
        <w:t>100</w:t>
      </w:r>
      <w:r w:rsidR="00EC5DC5" w:rsidRPr="003F0DBC">
        <w:rPr>
          <w:spacing w:val="-6"/>
        </w:rPr>
        <w:t xml:space="preserve"> </w:t>
      </w:r>
      <w:r w:rsidR="00C83978" w:rsidRPr="003F0DBC">
        <w:rPr>
          <w:spacing w:val="-6"/>
        </w:rPr>
        <w:t>VBQPPL</w:t>
      </w:r>
      <w:r w:rsidR="00C83978" w:rsidRPr="003F0DBC">
        <w:rPr>
          <w:rStyle w:val="FootnoteReference"/>
          <w:b/>
          <w:spacing w:val="-6"/>
        </w:rPr>
        <w:footnoteReference w:id="23"/>
      </w:r>
      <w:r w:rsidR="00BF3589" w:rsidRPr="003F0DBC">
        <w:rPr>
          <w:spacing w:val="-6"/>
        </w:rPr>
        <w:t xml:space="preserve"> </w:t>
      </w:r>
      <w:r w:rsidR="00BF3589" w:rsidRPr="003F0DBC">
        <w:rPr>
          <w:i/>
          <w:spacing w:val="-6"/>
          <w:lang w:val="en-US"/>
        </w:rPr>
        <w:t>(Chi tiết tại Phụ lục II)</w:t>
      </w:r>
      <w:r w:rsidR="00BF3589" w:rsidRPr="003F0DBC">
        <w:rPr>
          <w:i/>
          <w:spacing w:val="-6"/>
        </w:rPr>
        <w:t>.</w:t>
      </w:r>
    </w:p>
    <w:p w14:paraId="382CBD87" w14:textId="69E7C79E" w:rsidR="00C83978" w:rsidRPr="003F0DBC" w:rsidRDefault="00BD7CD5" w:rsidP="00C2663D">
      <w:pPr>
        <w:spacing w:before="60" w:after="80"/>
        <w:ind w:firstLine="720"/>
        <w:jc w:val="both"/>
      </w:pPr>
      <w:r w:rsidRPr="003F0DBC">
        <w:lastRenderedPageBreak/>
        <w:t>(</w:t>
      </w:r>
      <w:r w:rsidR="00353FDA" w:rsidRPr="003F0DBC">
        <w:t>3</w:t>
      </w:r>
      <w:r w:rsidRPr="003F0DBC">
        <w:t>)</w:t>
      </w:r>
      <w:r w:rsidR="00406769" w:rsidRPr="003F0DBC">
        <w:rPr>
          <w:i/>
        </w:rPr>
        <w:t xml:space="preserve"> </w:t>
      </w:r>
      <w:r w:rsidR="00D04BC5" w:rsidRPr="003F0DBC">
        <w:rPr>
          <w:i/>
        </w:rPr>
        <w:t>Kết quả đ</w:t>
      </w:r>
      <w:r w:rsidR="000A0621" w:rsidRPr="003F0DBC">
        <w:rPr>
          <w:i/>
        </w:rPr>
        <w:t xml:space="preserve">ơn giản hóa TTHC nội bộ theo Quyết định số 1085/QĐ-TTg </w:t>
      </w:r>
      <w:r w:rsidR="000A0621" w:rsidRPr="003F0DBC">
        <w:rPr>
          <w:i/>
        </w:rPr>
        <w:br/>
        <w:t>ngày 15 tháng 9 năm 2022 của Thủ tướng Chính phủ</w:t>
      </w:r>
      <w:r w:rsidR="00406769" w:rsidRPr="003F0DBC">
        <w:t>:</w:t>
      </w:r>
      <w:r w:rsidR="008F170D" w:rsidRPr="003F0DBC">
        <w:t xml:space="preserve"> </w:t>
      </w:r>
    </w:p>
    <w:p w14:paraId="5568D1BB" w14:textId="25B7CCE1" w:rsidR="00693D60" w:rsidRPr="003F0DBC" w:rsidRDefault="00693D60" w:rsidP="00C2663D">
      <w:pPr>
        <w:spacing w:before="60" w:after="80"/>
        <w:ind w:firstLine="720"/>
        <w:jc w:val="both"/>
      </w:pPr>
      <w:r w:rsidRPr="003F0DBC">
        <w:t xml:space="preserve">Trong tháng, </w:t>
      </w:r>
      <w:r w:rsidR="00475173" w:rsidRPr="003F0DBC">
        <w:t xml:space="preserve">có 02 </w:t>
      </w:r>
      <w:r w:rsidR="00903522" w:rsidRPr="003F0DBC">
        <w:t>B</w:t>
      </w:r>
      <w:r w:rsidR="00475173" w:rsidRPr="003F0DBC">
        <w:t xml:space="preserve">ộ (Xây dựng, Nông nghiệp và Môi trường) công bố </w:t>
      </w:r>
      <w:r w:rsidR="00AF0C13" w:rsidRPr="003F0DBC">
        <w:t xml:space="preserve">chuẩn hóa </w:t>
      </w:r>
      <w:r w:rsidR="00AF0C13" w:rsidRPr="003F0DBC">
        <w:rPr>
          <w:b/>
        </w:rPr>
        <w:t>169</w:t>
      </w:r>
      <w:r w:rsidR="00AF0C13" w:rsidRPr="003F0DBC">
        <w:t xml:space="preserve"> TTHC nội bộ </w:t>
      </w:r>
      <w:r w:rsidR="00AF0C13" w:rsidRPr="003F0DBC">
        <w:rPr>
          <w:i/>
        </w:rPr>
        <w:t>(gồm: 109 TTHC nhóm A và 60 TTHC nhóm B)</w:t>
      </w:r>
      <w:r w:rsidR="00AF0C13" w:rsidRPr="003F0DBC">
        <w:t xml:space="preserve">, Bộ Giáo dục và Đào tạo công bố bổ sung </w:t>
      </w:r>
      <w:r w:rsidR="00AF0C13" w:rsidRPr="003F0DBC">
        <w:rPr>
          <w:b/>
        </w:rPr>
        <w:t>121</w:t>
      </w:r>
      <w:r w:rsidR="00AF0C13" w:rsidRPr="003F0DBC">
        <w:t xml:space="preserve"> TTHC </w:t>
      </w:r>
      <w:r w:rsidR="00AF0C13" w:rsidRPr="003F0DBC">
        <w:rPr>
          <w:i/>
        </w:rPr>
        <w:t>(gồm: 02 TTHC nhóm A và 119 nhóm B)</w:t>
      </w:r>
      <w:r w:rsidR="00AF0C13" w:rsidRPr="003F0DBC">
        <w:t xml:space="preserve">. Đồng thời, các </w:t>
      </w:r>
      <w:r w:rsidR="00903522" w:rsidRPr="003F0DBC">
        <w:t>b</w:t>
      </w:r>
      <w:r w:rsidR="00AF0C13" w:rsidRPr="003F0DBC">
        <w:t>ộ tích cực công khai TTHC nội bộ trên Cơ sở dữ liệu quốc gia về TTHC.</w:t>
      </w:r>
      <w:r w:rsidR="0017031D" w:rsidRPr="003F0DBC">
        <w:t xml:space="preserve"> </w:t>
      </w:r>
      <w:r w:rsidR="002F0DA2" w:rsidRPr="003F0DBC">
        <w:t>C</w:t>
      </w:r>
      <w:r w:rsidRPr="003F0DBC">
        <w:t>ác địa phương</w:t>
      </w:r>
      <w:r w:rsidR="002F0DA2" w:rsidRPr="003F0DBC">
        <w:t xml:space="preserve"> tiếp tục </w:t>
      </w:r>
      <w:r w:rsidRPr="003F0DBC">
        <w:t>rà soát, công bố bổ sung TTHC nội bộ thuộc thẩm quyền giải quyết</w:t>
      </w:r>
      <w:r w:rsidR="00BA12AB" w:rsidRPr="003F0DBC">
        <w:t>,</w:t>
      </w:r>
      <w:r w:rsidRPr="003F0DBC">
        <w:t xml:space="preserve"> phê duyệt và thực thi phương án cắt giảm, đơn giản hóa TTHC nội bộ.</w:t>
      </w:r>
    </w:p>
    <w:p w14:paraId="25CD92D0" w14:textId="6DD2D5C7" w:rsidR="004A023B" w:rsidRPr="003F0DBC" w:rsidRDefault="00693D60" w:rsidP="00C2663D">
      <w:pPr>
        <w:spacing w:before="60" w:after="80"/>
        <w:ind w:firstLine="720"/>
        <w:jc w:val="both"/>
      </w:pPr>
      <w:r w:rsidRPr="003F0DBC">
        <w:t xml:space="preserve"> </w:t>
      </w:r>
      <w:r w:rsidR="00BD7CD5" w:rsidRPr="003F0DBC">
        <w:t>(4)</w:t>
      </w:r>
      <w:r w:rsidR="00406769" w:rsidRPr="003F0DBC">
        <w:rPr>
          <w:i/>
        </w:rPr>
        <w:t xml:space="preserve"> </w:t>
      </w:r>
      <w:r w:rsidR="00D04BC5" w:rsidRPr="003F0DBC">
        <w:rPr>
          <w:i/>
        </w:rPr>
        <w:t>Kết quả</w:t>
      </w:r>
      <w:r w:rsidR="00BF0949" w:rsidRPr="003F0DBC">
        <w:rPr>
          <w:i/>
        </w:rPr>
        <w:t xml:space="preserve"> thực hiện</w:t>
      </w:r>
      <w:r w:rsidR="00BF0949" w:rsidRPr="003F0DBC" w:rsidDel="0067281D">
        <w:rPr>
          <w:i/>
        </w:rPr>
        <w:t xml:space="preserve"> 19 Nghị quyết của Chính phủ về đơn giản hóa TTHC, giấy tờ công dân liên quan đến quản lý dân cư</w:t>
      </w:r>
      <w:r w:rsidR="00BF0949" w:rsidRPr="003F0DBC">
        <w:t>:</w:t>
      </w:r>
      <w:r w:rsidR="00731A9E" w:rsidRPr="003F0DBC">
        <w:t xml:space="preserve"> </w:t>
      </w:r>
    </w:p>
    <w:p w14:paraId="1FD0CA7C" w14:textId="43BA2135" w:rsidR="00006C95" w:rsidRPr="003F0DBC" w:rsidRDefault="005255DE" w:rsidP="00C2663D">
      <w:pPr>
        <w:spacing w:before="60" w:after="80"/>
        <w:ind w:firstLine="720"/>
        <w:jc w:val="both"/>
      </w:pPr>
      <w:r w:rsidRPr="003F0DBC">
        <w:t xml:space="preserve">Trong tháng, các </w:t>
      </w:r>
      <w:r w:rsidR="00771464" w:rsidRPr="003F0DBC">
        <w:t>b</w:t>
      </w:r>
      <w:r w:rsidRPr="003F0DBC">
        <w:t>ộ, ngành tiếp tục thực hiện đơn giản hóa TTHC, giấy tờ công dân liên quan đến quản lý dân cư. T</w:t>
      </w:r>
      <w:r w:rsidR="00FD13CE" w:rsidRPr="003F0DBC">
        <w:t xml:space="preserve">ổng số TTHC được các bộ, cơ quan thực thi phương án </w:t>
      </w:r>
      <w:r w:rsidR="000167BA" w:rsidRPr="003F0DBC">
        <w:t>đến nay</w:t>
      </w:r>
      <w:r w:rsidR="00006C95" w:rsidRPr="003F0DBC">
        <w:t xml:space="preserve"> là </w:t>
      </w:r>
      <w:r w:rsidR="000167BA" w:rsidRPr="003F0DBC">
        <w:rPr>
          <w:b/>
        </w:rPr>
        <w:t>9</w:t>
      </w:r>
      <w:r w:rsidR="00BD4148" w:rsidRPr="003F0DBC">
        <w:rPr>
          <w:b/>
        </w:rPr>
        <w:t>8</w:t>
      </w:r>
      <w:r w:rsidR="00CF1D1E" w:rsidRPr="003F0DBC">
        <w:rPr>
          <w:b/>
        </w:rPr>
        <w:t>3</w:t>
      </w:r>
      <w:r w:rsidR="004A023B" w:rsidRPr="003F0DBC">
        <w:rPr>
          <w:b/>
        </w:rPr>
        <w:t>/1</w:t>
      </w:r>
      <w:r w:rsidR="0012416D" w:rsidRPr="003F0DBC">
        <w:rPr>
          <w:b/>
        </w:rPr>
        <w:t>.</w:t>
      </w:r>
      <w:r w:rsidR="004A023B" w:rsidRPr="003F0DBC">
        <w:rPr>
          <w:b/>
        </w:rPr>
        <w:t>084</w:t>
      </w:r>
      <w:r w:rsidR="00006C95" w:rsidRPr="003F0DBC">
        <w:t xml:space="preserve"> TTHC</w:t>
      </w:r>
      <w:r w:rsidR="00287B97" w:rsidRPr="003F0DBC">
        <w:t xml:space="preserve"> tại </w:t>
      </w:r>
      <w:r w:rsidR="00525EF6" w:rsidRPr="003F0DBC">
        <w:rPr>
          <w:b/>
        </w:rPr>
        <w:t>28</w:t>
      </w:r>
      <w:r w:rsidR="00CF1D1E" w:rsidRPr="003F0DBC">
        <w:rPr>
          <w:b/>
        </w:rPr>
        <w:t>8</w:t>
      </w:r>
      <w:r w:rsidR="00287B97" w:rsidRPr="003F0DBC">
        <w:t xml:space="preserve"> VBQPPL</w:t>
      </w:r>
      <w:r w:rsidR="00287B97" w:rsidRPr="003F0DBC">
        <w:rPr>
          <w:rStyle w:val="FootnoteReference"/>
          <w:b/>
        </w:rPr>
        <w:footnoteReference w:id="24"/>
      </w:r>
      <w:r w:rsidR="00006C95" w:rsidRPr="003F0DBC">
        <w:t xml:space="preserve">, đạt </w:t>
      </w:r>
      <w:r w:rsidR="002B25B9" w:rsidRPr="003F0DBC">
        <w:rPr>
          <w:b/>
        </w:rPr>
        <w:t>9</w:t>
      </w:r>
      <w:r w:rsidR="00CF1D1E" w:rsidRPr="003F0DBC">
        <w:rPr>
          <w:b/>
        </w:rPr>
        <w:t>1</w:t>
      </w:r>
      <w:r w:rsidR="00006C95" w:rsidRPr="00313034">
        <w:rPr>
          <w:b/>
        </w:rPr>
        <w:t>%</w:t>
      </w:r>
      <w:r w:rsidR="00006C95" w:rsidRPr="003F0DBC">
        <w:t xml:space="preserve">. Còn </w:t>
      </w:r>
      <w:r w:rsidR="00006C95" w:rsidRPr="003F0DBC">
        <w:rPr>
          <w:b/>
        </w:rPr>
        <w:t>1</w:t>
      </w:r>
      <w:r w:rsidR="00ED274C" w:rsidRPr="003F0DBC">
        <w:rPr>
          <w:b/>
        </w:rPr>
        <w:t>0</w:t>
      </w:r>
      <w:r w:rsidR="00CF1D1E" w:rsidRPr="003F0DBC">
        <w:rPr>
          <w:b/>
        </w:rPr>
        <w:t>1</w:t>
      </w:r>
      <w:r w:rsidR="00006C95" w:rsidRPr="003F0DBC">
        <w:t xml:space="preserve"> TTHC cần </w:t>
      </w:r>
      <w:r w:rsidR="004A023B" w:rsidRPr="003F0DBC">
        <w:t xml:space="preserve">phải </w:t>
      </w:r>
      <w:r w:rsidR="00006C95" w:rsidRPr="003F0DBC">
        <w:t>tiếp tục đơn giản hóa tại 01 Luật, 1</w:t>
      </w:r>
      <w:r w:rsidR="00055936" w:rsidRPr="003F0DBC">
        <w:t>2</w:t>
      </w:r>
      <w:r w:rsidR="00006C95" w:rsidRPr="003F0DBC">
        <w:t xml:space="preserve"> Nghị định, </w:t>
      </w:r>
      <w:r w:rsidR="00055936" w:rsidRPr="003F0DBC">
        <w:t>18</w:t>
      </w:r>
      <w:r w:rsidR="00E52F10" w:rsidRPr="003F0DBC">
        <w:t xml:space="preserve"> </w:t>
      </w:r>
      <w:r w:rsidR="00006C95" w:rsidRPr="003F0DBC">
        <w:t xml:space="preserve">Thông tư, Thông tư liên tịch </w:t>
      </w:r>
      <w:r w:rsidR="00006C95" w:rsidRPr="003F0DBC">
        <w:rPr>
          <w:i/>
          <w:lang w:val="en-US"/>
        </w:rPr>
        <w:t>(Chi tiết tại Phụ lục</w:t>
      </w:r>
      <w:r w:rsidR="008C0FC4" w:rsidRPr="003F0DBC">
        <w:rPr>
          <w:i/>
          <w:lang w:val="en-US"/>
        </w:rPr>
        <w:t xml:space="preserve"> </w:t>
      </w:r>
      <w:r w:rsidR="005076AD" w:rsidRPr="003F0DBC">
        <w:rPr>
          <w:i/>
          <w:lang w:val="en-US"/>
        </w:rPr>
        <w:t>III</w:t>
      </w:r>
      <w:r w:rsidR="00006C95" w:rsidRPr="003F0DBC">
        <w:rPr>
          <w:i/>
          <w:lang w:val="en-US"/>
        </w:rPr>
        <w:t>)</w:t>
      </w:r>
      <w:r w:rsidR="00006C95" w:rsidRPr="003F0DBC">
        <w:t>.</w:t>
      </w:r>
      <w:r w:rsidR="00006C95" w:rsidRPr="003F0DBC">
        <w:rPr>
          <w:i/>
        </w:rPr>
        <w:t xml:space="preserve"> </w:t>
      </w:r>
    </w:p>
    <w:p w14:paraId="7CCB9B52" w14:textId="31558EF6" w:rsidR="00A515FD" w:rsidRPr="003F0DBC" w:rsidRDefault="004A023B"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xml:space="preserve"> </w:t>
      </w:r>
      <w:r w:rsidR="007D75D5" w:rsidRPr="003F0DBC">
        <w:rPr>
          <w:rFonts w:ascii="Times New Roman" w:hAnsi="Times New Roman"/>
          <w:szCs w:val="28"/>
        </w:rPr>
        <w:t>(5)</w:t>
      </w:r>
      <w:r w:rsidR="007D75D5" w:rsidRPr="003F0DBC">
        <w:rPr>
          <w:rFonts w:ascii="Times New Roman" w:hAnsi="Times New Roman"/>
          <w:i/>
          <w:szCs w:val="28"/>
        </w:rPr>
        <w:t xml:space="preserve"> </w:t>
      </w:r>
      <w:r w:rsidR="00D04BC5" w:rsidRPr="003F0DBC">
        <w:rPr>
          <w:rFonts w:ascii="Times New Roman" w:hAnsi="Times New Roman"/>
          <w:i/>
          <w:szCs w:val="28"/>
        </w:rPr>
        <w:t>Kết quả</w:t>
      </w:r>
      <w:r w:rsidR="007D75D5" w:rsidRPr="003F0DBC">
        <w:rPr>
          <w:rFonts w:ascii="Times New Roman" w:hAnsi="Times New Roman"/>
          <w:i/>
          <w:szCs w:val="28"/>
        </w:rPr>
        <w:t xml:space="preserve"> thực thi phương án cắt giảm, đơn giản hóa quy định, TTHC liên quan đến Phiếu lý lịch tư pháp theo Quyết định số 498/QĐ-TTg ngày 11 </w:t>
      </w:r>
      <w:r w:rsidR="00C3043D" w:rsidRPr="003F0DBC">
        <w:rPr>
          <w:rFonts w:ascii="Times New Roman" w:hAnsi="Times New Roman"/>
          <w:i/>
          <w:szCs w:val="28"/>
        </w:rPr>
        <w:br/>
      </w:r>
      <w:r w:rsidR="007D75D5" w:rsidRPr="003F0DBC">
        <w:rPr>
          <w:rFonts w:ascii="Times New Roman" w:hAnsi="Times New Roman"/>
          <w:i/>
          <w:szCs w:val="28"/>
        </w:rPr>
        <w:t>tháng 6 năm 2024 của Thủ tướng Chính phủ</w:t>
      </w:r>
      <w:r w:rsidR="007D75D5" w:rsidRPr="003F0DBC">
        <w:rPr>
          <w:rFonts w:ascii="Times New Roman" w:hAnsi="Times New Roman"/>
          <w:szCs w:val="28"/>
        </w:rPr>
        <w:t>:</w:t>
      </w:r>
      <w:r w:rsidR="008F170D" w:rsidRPr="003F0DBC">
        <w:rPr>
          <w:rFonts w:ascii="Times New Roman" w:hAnsi="Times New Roman"/>
          <w:szCs w:val="28"/>
        </w:rPr>
        <w:t xml:space="preserve"> </w:t>
      </w:r>
    </w:p>
    <w:p w14:paraId="5908E5D0" w14:textId="40E2C7D6" w:rsidR="005C296F" w:rsidRPr="003F0DBC" w:rsidRDefault="0052022E" w:rsidP="00C2663D">
      <w:pPr>
        <w:pStyle w:val="BodyTextIndent"/>
        <w:tabs>
          <w:tab w:val="left" w:pos="840"/>
        </w:tabs>
        <w:spacing w:before="60" w:after="80"/>
        <w:ind w:right="0"/>
        <w:rPr>
          <w:rFonts w:ascii="Times New Roman" w:hAnsi="Times New Roman"/>
          <w:i/>
          <w:szCs w:val="28"/>
        </w:rPr>
      </w:pPr>
      <w:r w:rsidRPr="003F0DBC">
        <w:rPr>
          <w:rFonts w:ascii="Times New Roman" w:hAnsi="Times New Roman"/>
          <w:szCs w:val="28"/>
        </w:rPr>
        <w:t xml:space="preserve">Trong tháng, việc thực thi phương án cắt giảm, đơn giản hóa quy định, TTHC liên quan đến Phiếu lý lịch tư pháp tiếp tục được tập trung thực hiện. </w:t>
      </w:r>
      <w:r w:rsidR="004A023B" w:rsidRPr="003F0DBC">
        <w:rPr>
          <w:rFonts w:ascii="Times New Roman" w:hAnsi="Times New Roman"/>
          <w:szCs w:val="28"/>
        </w:rPr>
        <w:t xml:space="preserve">Tính </w:t>
      </w:r>
      <w:r w:rsidR="007D75D5" w:rsidRPr="003F0DBC">
        <w:rPr>
          <w:rFonts w:ascii="Times New Roman" w:hAnsi="Times New Roman"/>
          <w:szCs w:val="28"/>
        </w:rPr>
        <w:t>đến nay</w:t>
      </w:r>
      <w:r w:rsidR="004A023B" w:rsidRPr="003F0DBC">
        <w:rPr>
          <w:rFonts w:ascii="Times New Roman" w:hAnsi="Times New Roman"/>
          <w:szCs w:val="28"/>
        </w:rPr>
        <w:t xml:space="preserve">, </w:t>
      </w:r>
      <w:r w:rsidR="00BE5C01" w:rsidRPr="003F0DBC">
        <w:rPr>
          <w:rFonts w:ascii="Times New Roman" w:hAnsi="Times New Roman"/>
          <w:szCs w:val="28"/>
        </w:rPr>
        <w:t>có</w:t>
      </w:r>
      <w:r w:rsidR="008D2BF4" w:rsidRPr="003F0DBC">
        <w:rPr>
          <w:rFonts w:ascii="Times New Roman" w:hAnsi="Times New Roman"/>
          <w:szCs w:val="28"/>
        </w:rPr>
        <w:t xml:space="preserve"> </w:t>
      </w:r>
      <w:r w:rsidR="008D2BF4" w:rsidRPr="003F0DBC">
        <w:rPr>
          <w:rFonts w:ascii="Times New Roman" w:hAnsi="Times New Roman"/>
          <w:b/>
          <w:szCs w:val="28"/>
        </w:rPr>
        <w:t>0</w:t>
      </w:r>
      <w:r w:rsidR="00435E7D" w:rsidRPr="003F0DBC">
        <w:rPr>
          <w:rFonts w:ascii="Times New Roman" w:hAnsi="Times New Roman"/>
          <w:b/>
          <w:szCs w:val="28"/>
        </w:rPr>
        <w:t>5</w:t>
      </w:r>
      <w:r w:rsidR="00BE5C01" w:rsidRPr="003F0DBC">
        <w:rPr>
          <w:rFonts w:ascii="Times New Roman" w:hAnsi="Times New Roman"/>
          <w:szCs w:val="28"/>
        </w:rPr>
        <w:t xml:space="preserve"> bộ</w:t>
      </w:r>
      <w:r w:rsidR="00435E7D" w:rsidRPr="003F0DBC">
        <w:rPr>
          <w:rFonts w:ascii="Times New Roman" w:hAnsi="Times New Roman"/>
          <w:szCs w:val="28"/>
        </w:rPr>
        <w:t>, cơ quan</w:t>
      </w:r>
      <w:r w:rsidR="008D2BF4" w:rsidRPr="003F0DBC">
        <w:rPr>
          <w:rStyle w:val="FootnoteReference"/>
          <w:rFonts w:ascii="Times New Roman" w:hAnsi="Times New Roman"/>
          <w:b/>
          <w:szCs w:val="28"/>
        </w:rPr>
        <w:footnoteReference w:id="25"/>
      </w:r>
      <w:r w:rsidR="00BE5C01" w:rsidRPr="003F0DBC">
        <w:rPr>
          <w:rFonts w:ascii="Times New Roman" w:hAnsi="Times New Roman"/>
          <w:b/>
          <w:szCs w:val="28"/>
        </w:rPr>
        <w:t xml:space="preserve"> </w:t>
      </w:r>
      <w:r w:rsidR="008873D0" w:rsidRPr="003F0DBC">
        <w:rPr>
          <w:rFonts w:ascii="Times New Roman" w:hAnsi="Times New Roman"/>
          <w:szCs w:val="28"/>
        </w:rPr>
        <w:t>đã</w:t>
      </w:r>
      <w:r w:rsidR="008873D0" w:rsidRPr="003F0DBC">
        <w:rPr>
          <w:rFonts w:ascii="Times New Roman" w:hAnsi="Times New Roman"/>
          <w:b/>
          <w:szCs w:val="28"/>
        </w:rPr>
        <w:t xml:space="preserve"> </w:t>
      </w:r>
      <w:r w:rsidR="00BE5C01" w:rsidRPr="003F0DBC">
        <w:rPr>
          <w:rFonts w:ascii="Times New Roman" w:hAnsi="Times New Roman"/>
          <w:szCs w:val="28"/>
        </w:rPr>
        <w:t xml:space="preserve">thực thi phương án cắt giảm, đơn giản hóa </w:t>
      </w:r>
      <w:r w:rsidR="00435E7D" w:rsidRPr="003F0DBC">
        <w:rPr>
          <w:rFonts w:ascii="Times New Roman" w:hAnsi="Times New Roman"/>
          <w:b/>
          <w:szCs w:val="28"/>
        </w:rPr>
        <w:t>21</w:t>
      </w:r>
      <w:r w:rsidR="007D75D5" w:rsidRPr="003F0DBC">
        <w:rPr>
          <w:rFonts w:ascii="Times New Roman" w:hAnsi="Times New Roman"/>
          <w:b/>
          <w:szCs w:val="28"/>
        </w:rPr>
        <w:t>/108</w:t>
      </w:r>
      <w:r w:rsidR="007D75D5" w:rsidRPr="003F0DBC">
        <w:rPr>
          <w:rFonts w:ascii="Times New Roman" w:hAnsi="Times New Roman"/>
          <w:szCs w:val="28"/>
        </w:rPr>
        <w:t xml:space="preserve"> TTHC</w:t>
      </w:r>
      <w:r w:rsidR="00BE5C01" w:rsidRPr="003F0DBC">
        <w:rPr>
          <w:rFonts w:ascii="Times New Roman" w:hAnsi="Times New Roman"/>
          <w:szCs w:val="28"/>
        </w:rPr>
        <w:t xml:space="preserve"> liên quan đến Phiếu lý lịch tư pháp</w:t>
      </w:r>
      <w:r w:rsidR="004A023B" w:rsidRPr="003F0DBC">
        <w:rPr>
          <w:rFonts w:ascii="Times New Roman" w:hAnsi="Times New Roman"/>
          <w:szCs w:val="28"/>
        </w:rPr>
        <w:t xml:space="preserve">, đạt </w:t>
      </w:r>
      <w:r w:rsidR="00C45247" w:rsidRPr="00313034">
        <w:rPr>
          <w:rFonts w:ascii="Times New Roman" w:hAnsi="Times New Roman"/>
          <w:b/>
          <w:szCs w:val="28"/>
        </w:rPr>
        <w:t>1</w:t>
      </w:r>
      <w:r w:rsidR="00325765" w:rsidRPr="00313034">
        <w:rPr>
          <w:rFonts w:ascii="Times New Roman" w:hAnsi="Times New Roman"/>
          <w:b/>
          <w:szCs w:val="28"/>
        </w:rPr>
        <w:t>9</w:t>
      </w:r>
      <w:r w:rsidR="004A023B" w:rsidRPr="00313034">
        <w:rPr>
          <w:rFonts w:ascii="Times New Roman" w:hAnsi="Times New Roman"/>
          <w:b/>
          <w:szCs w:val="28"/>
        </w:rPr>
        <w:t>%</w:t>
      </w:r>
      <w:r w:rsidR="00A515FD" w:rsidRPr="003F0DBC">
        <w:rPr>
          <w:rFonts w:ascii="Times New Roman" w:hAnsi="Times New Roman"/>
          <w:szCs w:val="28"/>
        </w:rPr>
        <w:t xml:space="preserve">; </w:t>
      </w:r>
      <w:r w:rsidR="00A515FD" w:rsidRPr="003F0DBC">
        <w:rPr>
          <w:rFonts w:ascii="Times New Roman" w:hAnsi="Times New Roman"/>
          <w:b/>
          <w:szCs w:val="28"/>
        </w:rPr>
        <w:t>0</w:t>
      </w:r>
      <w:r w:rsidR="00325765" w:rsidRPr="003F0DBC">
        <w:rPr>
          <w:rFonts w:ascii="Times New Roman" w:hAnsi="Times New Roman"/>
          <w:b/>
          <w:szCs w:val="28"/>
        </w:rPr>
        <w:t>7</w:t>
      </w:r>
      <w:r w:rsidR="00A515FD" w:rsidRPr="003F0DBC">
        <w:rPr>
          <w:rFonts w:ascii="Times New Roman" w:hAnsi="Times New Roman"/>
          <w:szCs w:val="28"/>
        </w:rPr>
        <w:t xml:space="preserve"> bộ, cơ quan</w:t>
      </w:r>
      <w:r w:rsidR="00A515FD" w:rsidRPr="003F0DBC">
        <w:rPr>
          <w:rStyle w:val="FootnoteReference"/>
          <w:rFonts w:ascii="Times New Roman" w:hAnsi="Times New Roman"/>
          <w:b/>
          <w:szCs w:val="28"/>
        </w:rPr>
        <w:footnoteReference w:id="26"/>
      </w:r>
      <w:r w:rsidR="00A515FD" w:rsidRPr="003F0DBC">
        <w:rPr>
          <w:rFonts w:ascii="Times New Roman" w:hAnsi="Times New Roman"/>
          <w:szCs w:val="28"/>
        </w:rPr>
        <w:t xml:space="preserve"> chưa thực thi phương án theo Quyết định của Thủ tướng Chính phủ.</w:t>
      </w:r>
      <w:r w:rsidR="00580D0C" w:rsidRPr="003F0DBC">
        <w:rPr>
          <w:rFonts w:ascii="Times New Roman" w:hAnsi="Times New Roman"/>
          <w:szCs w:val="28"/>
        </w:rPr>
        <w:t xml:space="preserve"> </w:t>
      </w:r>
      <w:r w:rsidR="00A35A16" w:rsidRPr="003F0DBC">
        <w:rPr>
          <w:rFonts w:ascii="Times New Roman" w:hAnsi="Times New Roman"/>
          <w:szCs w:val="28"/>
        </w:rPr>
        <w:t>Tổng số c</w:t>
      </w:r>
      <w:r w:rsidR="00C45247" w:rsidRPr="003F0DBC">
        <w:rPr>
          <w:rFonts w:ascii="Times New Roman" w:hAnsi="Times New Roman"/>
          <w:szCs w:val="28"/>
        </w:rPr>
        <w:t xml:space="preserve">òn </w:t>
      </w:r>
      <w:r w:rsidR="00055B3F" w:rsidRPr="00313034">
        <w:rPr>
          <w:rFonts w:ascii="Times New Roman" w:hAnsi="Times New Roman"/>
          <w:b/>
          <w:szCs w:val="28"/>
        </w:rPr>
        <w:t>87</w:t>
      </w:r>
      <w:r w:rsidR="00C45247" w:rsidRPr="003F0DBC">
        <w:rPr>
          <w:rFonts w:ascii="Times New Roman" w:hAnsi="Times New Roman"/>
          <w:szCs w:val="28"/>
        </w:rPr>
        <w:t xml:space="preserve"> TTHC </w:t>
      </w:r>
      <w:r w:rsidR="00A515FD" w:rsidRPr="003F0DBC">
        <w:rPr>
          <w:rFonts w:ascii="Times New Roman" w:hAnsi="Times New Roman"/>
          <w:szCs w:val="28"/>
        </w:rPr>
        <w:t xml:space="preserve">cần phải tiếp tục thực thi </w:t>
      </w:r>
      <w:r w:rsidR="00C45247" w:rsidRPr="003F0DBC">
        <w:rPr>
          <w:rFonts w:ascii="Times New Roman" w:hAnsi="Times New Roman"/>
          <w:szCs w:val="28"/>
        </w:rPr>
        <w:t xml:space="preserve">tại </w:t>
      </w:r>
      <w:r w:rsidR="00B40A4D" w:rsidRPr="003F0DBC">
        <w:rPr>
          <w:rFonts w:ascii="Times New Roman" w:hAnsi="Times New Roman"/>
          <w:szCs w:val="28"/>
        </w:rPr>
        <w:t>34</w:t>
      </w:r>
      <w:r w:rsidR="00C45247" w:rsidRPr="003F0DBC">
        <w:rPr>
          <w:rFonts w:ascii="Times New Roman" w:hAnsi="Times New Roman"/>
          <w:szCs w:val="28"/>
        </w:rPr>
        <w:t xml:space="preserve"> VBQPPL</w:t>
      </w:r>
      <w:r w:rsidR="00A515FD" w:rsidRPr="003F0DBC">
        <w:rPr>
          <w:rStyle w:val="FootnoteReference"/>
          <w:rFonts w:ascii="Times New Roman" w:hAnsi="Times New Roman"/>
          <w:b/>
          <w:szCs w:val="28"/>
        </w:rPr>
        <w:footnoteReference w:id="27"/>
      </w:r>
      <w:r w:rsidR="009D10B8" w:rsidRPr="003F0DBC">
        <w:rPr>
          <w:rFonts w:ascii="Times New Roman" w:hAnsi="Times New Roman"/>
          <w:szCs w:val="28"/>
        </w:rPr>
        <w:t xml:space="preserve"> </w:t>
      </w:r>
      <w:r w:rsidR="007D75D5" w:rsidRPr="003F0DBC">
        <w:rPr>
          <w:rFonts w:ascii="Times New Roman" w:hAnsi="Times New Roman"/>
          <w:i/>
          <w:szCs w:val="28"/>
          <w:lang w:val="en-US"/>
        </w:rPr>
        <w:t xml:space="preserve">(Chi tiết tại Phụ lục </w:t>
      </w:r>
      <w:r w:rsidR="005076AD" w:rsidRPr="003F0DBC">
        <w:rPr>
          <w:rFonts w:ascii="Times New Roman" w:hAnsi="Times New Roman"/>
          <w:i/>
          <w:szCs w:val="28"/>
          <w:lang w:val="en-US"/>
        </w:rPr>
        <w:t>I</w:t>
      </w:r>
      <w:r w:rsidR="007D75D5" w:rsidRPr="003F0DBC">
        <w:rPr>
          <w:rFonts w:ascii="Times New Roman" w:hAnsi="Times New Roman"/>
          <w:i/>
          <w:szCs w:val="28"/>
          <w:lang w:val="en-US"/>
        </w:rPr>
        <w:t>V)</w:t>
      </w:r>
      <w:r w:rsidR="007D75D5" w:rsidRPr="003F0DBC">
        <w:rPr>
          <w:rFonts w:ascii="Times New Roman" w:hAnsi="Times New Roman"/>
          <w:i/>
          <w:szCs w:val="28"/>
        </w:rPr>
        <w:t>.</w:t>
      </w:r>
    </w:p>
    <w:p w14:paraId="7716BEBE" w14:textId="53AB45BE" w:rsidR="000C1F78" w:rsidRPr="003F0DBC" w:rsidRDefault="00D042E7" w:rsidP="00C2663D">
      <w:pPr>
        <w:shd w:val="clear" w:color="auto" w:fill="FFFFFF"/>
        <w:spacing w:before="60" w:after="80"/>
        <w:ind w:firstLine="720"/>
        <w:jc w:val="both"/>
        <w:rPr>
          <w:b/>
        </w:rPr>
      </w:pPr>
      <w:r w:rsidRPr="003F0DBC">
        <w:rPr>
          <w:b/>
        </w:rPr>
        <w:t>3</w:t>
      </w:r>
      <w:r w:rsidR="000C1F78" w:rsidRPr="003F0DBC">
        <w:rPr>
          <w:b/>
        </w:rPr>
        <w:t>. Về cải cách việc thực hiện TTHC</w:t>
      </w:r>
      <w:r w:rsidR="00632BD4" w:rsidRPr="003F0DBC">
        <w:rPr>
          <w:rStyle w:val="FootnoteReference"/>
          <w:b/>
        </w:rPr>
        <w:footnoteReference w:id="28"/>
      </w:r>
    </w:p>
    <w:p w14:paraId="3F33C84A" w14:textId="7A4D5E90" w:rsidR="001E3DDD" w:rsidRPr="003F0DBC" w:rsidRDefault="001E3DDD" w:rsidP="00C2663D">
      <w:pPr>
        <w:pStyle w:val="BodyTextIndent"/>
        <w:tabs>
          <w:tab w:val="left" w:pos="840"/>
        </w:tabs>
        <w:spacing w:before="60" w:after="80"/>
        <w:ind w:right="0"/>
        <w:rPr>
          <w:rFonts w:ascii="Times New Roman" w:hAnsi="Times New Roman"/>
          <w:szCs w:val="28"/>
          <w:shd w:val="clear" w:color="auto" w:fill="FFFFFF"/>
        </w:rPr>
      </w:pPr>
      <w:r w:rsidRPr="003F0DBC">
        <w:rPr>
          <w:rFonts w:ascii="Times New Roman" w:hAnsi="Times New Roman"/>
          <w:i/>
          <w:szCs w:val="28"/>
        </w:rPr>
        <w:t xml:space="preserve">a) </w:t>
      </w:r>
      <w:r w:rsidR="00A30105" w:rsidRPr="003F0DBC">
        <w:rPr>
          <w:rFonts w:ascii="Times New Roman" w:hAnsi="Times New Roman"/>
          <w:i/>
          <w:szCs w:val="28"/>
        </w:rPr>
        <w:t>Kết quả</w:t>
      </w:r>
      <w:r w:rsidR="00220111" w:rsidRPr="003F0DBC">
        <w:rPr>
          <w:rFonts w:ascii="Times New Roman" w:hAnsi="Times New Roman"/>
          <w:i/>
          <w:szCs w:val="28"/>
        </w:rPr>
        <w:t xml:space="preserve"> công khai, minh bạch trong thực hiện TTHC</w:t>
      </w:r>
      <w:r w:rsidR="00220111" w:rsidRPr="003F0DBC">
        <w:rPr>
          <w:rFonts w:ascii="Times New Roman" w:hAnsi="Times New Roman"/>
          <w:i/>
          <w:szCs w:val="28"/>
          <w:shd w:val="clear" w:color="auto" w:fill="FFFFFF"/>
        </w:rPr>
        <w:t>:</w:t>
      </w:r>
      <w:r w:rsidR="00220111" w:rsidRPr="003F0DBC">
        <w:rPr>
          <w:rFonts w:ascii="Times New Roman" w:hAnsi="Times New Roman"/>
          <w:szCs w:val="28"/>
          <w:shd w:val="clear" w:color="auto" w:fill="FFFFFF"/>
        </w:rPr>
        <w:t xml:space="preserve"> </w:t>
      </w:r>
    </w:p>
    <w:p w14:paraId="5DDDE2F3" w14:textId="5BBADBD1" w:rsidR="000F6E81" w:rsidRPr="003F0DBC" w:rsidRDefault="000F6E81" w:rsidP="00C2663D">
      <w:pPr>
        <w:pStyle w:val="BodyTextIndent"/>
        <w:tabs>
          <w:tab w:val="left" w:pos="840"/>
        </w:tabs>
        <w:spacing w:before="60" w:after="80"/>
        <w:ind w:right="0"/>
        <w:rPr>
          <w:rFonts w:ascii="Times New Roman" w:hAnsi="Times New Roman"/>
          <w:spacing w:val="-6"/>
          <w:szCs w:val="28"/>
        </w:rPr>
      </w:pPr>
      <w:r w:rsidRPr="003F0DBC">
        <w:rPr>
          <w:rFonts w:ascii="Times New Roman" w:hAnsi="Times New Roman"/>
          <w:spacing w:val="-6"/>
          <w:szCs w:val="28"/>
        </w:rPr>
        <w:t xml:space="preserve">- </w:t>
      </w:r>
      <w:r w:rsidR="0041704A" w:rsidRPr="003F0DBC">
        <w:rPr>
          <w:rFonts w:ascii="Times New Roman" w:hAnsi="Times New Roman"/>
          <w:spacing w:val="-6"/>
          <w:szCs w:val="28"/>
        </w:rPr>
        <w:t>Tất cả c</w:t>
      </w:r>
      <w:r w:rsidR="00DF6F4B" w:rsidRPr="003F0DBC">
        <w:rPr>
          <w:rFonts w:ascii="Times New Roman" w:hAnsi="Times New Roman"/>
          <w:spacing w:val="-6"/>
          <w:szCs w:val="28"/>
        </w:rPr>
        <w:t>ác bộ, ngành đều cập nhật</w:t>
      </w:r>
      <w:r w:rsidR="0041704A" w:rsidRPr="003F0DBC">
        <w:rPr>
          <w:rFonts w:ascii="Times New Roman" w:hAnsi="Times New Roman"/>
          <w:spacing w:val="-6"/>
          <w:szCs w:val="28"/>
        </w:rPr>
        <w:t xml:space="preserve">, </w:t>
      </w:r>
      <w:r w:rsidR="00D80855" w:rsidRPr="003F0DBC">
        <w:rPr>
          <w:rFonts w:ascii="Times New Roman" w:hAnsi="Times New Roman"/>
          <w:spacing w:val="-6"/>
          <w:szCs w:val="28"/>
        </w:rPr>
        <w:t xml:space="preserve">công bố, </w:t>
      </w:r>
      <w:r w:rsidR="00DF6F4B" w:rsidRPr="003F0DBC">
        <w:rPr>
          <w:rFonts w:ascii="Times New Roman" w:hAnsi="Times New Roman"/>
          <w:spacing w:val="-6"/>
          <w:szCs w:val="28"/>
        </w:rPr>
        <w:t xml:space="preserve">công khai </w:t>
      </w:r>
      <w:r w:rsidR="0041704A" w:rsidRPr="003F0DBC">
        <w:rPr>
          <w:rFonts w:ascii="Times New Roman" w:hAnsi="Times New Roman"/>
          <w:spacing w:val="-6"/>
          <w:szCs w:val="28"/>
        </w:rPr>
        <w:t xml:space="preserve">TTHC </w:t>
      </w:r>
      <w:r w:rsidR="00DF6F4B" w:rsidRPr="003F0DBC">
        <w:rPr>
          <w:rFonts w:ascii="Times New Roman" w:hAnsi="Times New Roman"/>
          <w:spacing w:val="-6"/>
          <w:szCs w:val="28"/>
        </w:rPr>
        <w:t>chậm</w:t>
      </w:r>
      <w:r w:rsidR="0041704A" w:rsidRPr="003F0DBC">
        <w:rPr>
          <w:rFonts w:ascii="Times New Roman" w:hAnsi="Times New Roman"/>
          <w:spacing w:val="-6"/>
          <w:szCs w:val="28"/>
        </w:rPr>
        <w:t xml:space="preserve"> (tỷ lệ TTHC cập nhật, </w:t>
      </w:r>
      <w:r w:rsidR="00D80855" w:rsidRPr="003F0DBC">
        <w:rPr>
          <w:rFonts w:ascii="Times New Roman" w:hAnsi="Times New Roman"/>
          <w:spacing w:val="-6"/>
          <w:szCs w:val="28"/>
        </w:rPr>
        <w:t xml:space="preserve">công bố, </w:t>
      </w:r>
      <w:r w:rsidR="0041704A" w:rsidRPr="003F0DBC">
        <w:rPr>
          <w:rFonts w:ascii="Times New Roman" w:hAnsi="Times New Roman"/>
          <w:spacing w:val="-6"/>
          <w:szCs w:val="28"/>
        </w:rPr>
        <w:t xml:space="preserve">công khai </w:t>
      </w:r>
      <w:r w:rsidR="00D80855" w:rsidRPr="003F0DBC">
        <w:rPr>
          <w:rFonts w:ascii="Times New Roman" w:hAnsi="Times New Roman"/>
          <w:spacing w:val="-6"/>
          <w:szCs w:val="28"/>
        </w:rPr>
        <w:t>chậm muộn</w:t>
      </w:r>
      <w:r w:rsidR="0041704A" w:rsidRPr="003F0DBC">
        <w:rPr>
          <w:rFonts w:ascii="Times New Roman" w:hAnsi="Times New Roman"/>
          <w:spacing w:val="-6"/>
          <w:szCs w:val="28"/>
        </w:rPr>
        <w:t xml:space="preserve"> là </w:t>
      </w:r>
      <w:r w:rsidR="00D80855" w:rsidRPr="003F0DBC">
        <w:rPr>
          <w:rFonts w:ascii="Times New Roman" w:hAnsi="Times New Roman"/>
          <w:spacing w:val="-6"/>
          <w:szCs w:val="28"/>
        </w:rPr>
        <w:t>10</w:t>
      </w:r>
      <w:r w:rsidR="0041704A" w:rsidRPr="003F0DBC">
        <w:rPr>
          <w:rFonts w:ascii="Times New Roman" w:hAnsi="Times New Roman"/>
          <w:spacing w:val="-6"/>
          <w:szCs w:val="28"/>
        </w:rPr>
        <w:t xml:space="preserve">0%); trong khi </w:t>
      </w:r>
      <w:r w:rsidR="00D80855" w:rsidRPr="003F0DBC">
        <w:rPr>
          <w:rFonts w:ascii="Times New Roman" w:hAnsi="Times New Roman"/>
          <w:spacing w:val="-6"/>
          <w:szCs w:val="28"/>
        </w:rPr>
        <w:t xml:space="preserve">đó, </w:t>
      </w:r>
      <w:r w:rsidR="0041704A" w:rsidRPr="003F0DBC">
        <w:rPr>
          <w:rFonts w:ascii="Times New Roman" w:hAnsi="Times New Roman"/>
          <w:spacing w:val="-6"/>
          <w:szCs w:val="28"/>
        </w:rPr>
        <w:t>t</w:t>
      </w:r>
      <w:r w:rsidRPr="003F0DBC">
        <w:rPr>
          <w:rFonts w:ascii="Times New Roman" w:hAnsi="Times New Roman"/>
          <w:spacing w:val="-6"/>
          <w:szCs w:val="28"/>
        </w:rPr>
        <w:t xml:space="preserve">ỷ lệ TTHC </w:t>
      </w:r>
      <w:r w:rsidR="00D80855" w:rsidRPr="003F0DBC">
        <w:rPr>
          <w:rFonts w:ascii="Times New Roman" w:hAnsi="Times New Roman"/>
          <w:spacing w:val="-6"/>
          <w:szCs w:val="28"/>
        </w:rPr>
        <w:t xml:space="preserve">công bố đúng hạn tại địa phương đạt 73,27%, </w:t>
      </w:r>
      <w:r w:rsidRPr="003F0DBC">
        <w:rPr>
          <w:rFonts w:ascii="Times New Roman" w:hAnsi="Times New Roman"/>
          <w:spacing w:val="-6"/>
          <w:szCs w:val="28"/>
        </w:rPr>
        <w:t xml:space="preserve">cập nhật, công khai đúng hạn đạt </w:t>
      </w:r>
      <w:r w:rsidR="0041704A" w:rsidRPr="003F0DBC">
        <w:rPr>
          <w:rFonts w:ascii="Times New Roman" w:hAnsi="Times New Roman"/>
          <w:spacing w:val="-6"/>
          <w:szCs w:val="28"/>
        </w:rPr>
        <w:t>100</w:t>
      </w:r>
      <w:r w:rsidRPr="003F0DBC">
        <w:rPr>
          <w:rFonts w:ascii="Times New Roman" w:hAnsi="Times New Roman"/>
          <w:spacing w:val="-6"/>
          <w:szCs w:val="28"/>
        </w:rPr>
        <w:t xml:space="preserve">%. </w:t>
      </w:r>
    </w:p>
    <w:p w14:paraId="2850B5A4" w14:textId="7DC6AB23" w:rsidR="000F6E81" w:rsidRPr="003F0DBC" w:rsidRDefault="000F6E81"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Tỷ lệ đồng bộ, công khai quá trình giải quyết hồ sơ TTHC tại các bộ, ngành</w:t>
      </w:r>
      <w:r w:rsidR="00D8166B" w:rsidRPr="003F0DBC">
        <w:rPr>
          <w:rFonts w:ascii="Times New Roman" w:hAnsi="Times New Roman"/>
          <w:szCs w:val="28"/>
        </w:rPr>
        <w:t xml:space="preserve">, địa phương đều </w:t>
      </w:r>
      <w:r w:rsidRPr="003F0DBC">
        <w:rPr>
          <w:rFonts w:ascii="Times New Roman" w:hAnsi="Times New Roman"/>
          <w:szCs w:val="28"/>
        </w:rPr>
        <w:t xml:space="preserve">đạt </w:t>
      </w:r>
      <w:r w:rsidR="00D8166B" w:rsidRPr="003F0DBC">
        <w:rPr>
          <w:rFonts w:ascii="Times New Roman" w:hAnsi="Times New Roman"/>
          <w:szCs w:val="28"/>
        </w:rPr>
        <w:t>100</w:t>
      </w:r>
      <w:r w:rsidRPr="003F0DBC">
        <w:rPr>
          <w:rFonts w:ascii="Times New Roman" w:hAnsi="Times New Roman"/>
          <w:szCs w:val="28"/>
        </w:rPr>
        <w:t xml:space="preserve">% </w:t>
      </w:r>
      <w:r w:rsidRPr="003F0DBC">
        <w:rPr>
          <w:rFonts w:ascii="Times New Roman" w:hAnsi="Times New Roman"/>
          <w:i/>
          <w:szCs w:val="28"/>
        </w:rPr>
        <w:t>(</w:t>
      </w:r>
      <w:r w:rsidR="00D8166B" w:rsidRPr="003F0DBC">
        <w:rPr>
          <w:rFonts w:ascii="Times New Roman" w:hAnsi="Times New Roman"/>
          <w:i/>
          <w:szCs w:val="28"/>
          <w:shd w:val="clear" w:color="auto" w:fill="FFFFFF"/>
        </w:rPr>
        <w:t xml:space="preserve">1.201.674 </w:t>
      </w:r>
      <w:r w:rsidRPr="003F0DBC">
        <w:rPr>
          <w:rFonts w:ascii="Times New Roman" w:hAnsi="Times New Roman"/>
          <w:i/>
          <w:szCs w:val="28"/>
        </w:rPr>
        <w:t>hồ sơ</w:t>
      </w:r>
      <w:r w:rsidR="00D8166B" w:rsidRPr="003F0DBC">
        <w:rPr>
          <w:rFonts w:ascii="Times New Roman" w:hAnsi="Times New Roman"/>
          <w:i/>
          <w:szCs w:val="28"/>
        </w:rPr>
        <w:t xml:space="preserve"> tại các bộ, ngành v</w:t>
      </w:r>
      <w:r w:rsidRPr="003F0DBC">
        <w:rPr>
          <w:rFonts w:ascii="Times New Roman" w:hAnsi="Times New Roman"/>
          <w:i/>
          <w:szCs w:val="28"/>
        </w:rPr>
        <w:t xml:space="preserve">à </w:t>
      </w:r>
      <w:r w:rsidR="00D8166B" w:rsidRPr="003F0DBC">
        <w:rPr>
          <w:rFonts w:ascii="Times New Roman" w:hAnsi="Times New Roman"/>
          <w:bCs/>
          <w:i/>
          <w:szCs w:val="28"/>
          <w:shd w:val="clear" w:color="auto" w:fill="FFFFFF"/>
        </w:rPr>
        <w:t>1.439.101</w:t>
      </w:r>
      <w:r w:rsidR="00D8166B" w:rsidRPr="003F0DBC">
        <w:rPr>
          <w:rFonts w:ascii="Times New Roman" w:hAnsi="Times New Roman"/>
          <w:b/>
          <w:bCs/>
          <w:i/>
          <w:szCs w:val="28"/>
          <w:shd w:val="clear" w:color="auto" w:fill="FFFFFF"/>
        </w:rPr>
        <w:t xml:space="preserve"> </w:t>
      </w:r>
      <w:r w:rsidR="00D8166B" w:rsidRPr="003F0DBC">
        <w:rPr>
          <w:rFonts w:ascii="Times New Roman" w:hAnsi="Times New Roman"/>
          <w:bCs/>
          <w:i/>
          <w:szCs w:val="28"/>
          <w:shd w:val="clear" w:color="auto" w:fill="FFFFFF"/>
        </w:rPr>
        <w:t>hồ sơ</w:t>
      </w:r>
      <w:r w:rsidR="00D8166B" w:rsidRPr="003F0DBC">
        <w:rPr>
          <w:rFonts w:ascii="Times New Roman" w:hAnsi="Times New Roman"/>
          <w:b/>
          <w:bCs/>
          <w:i/>
          <w:szCs w:val="28"/>
          <w:shd w:val="clear" w:color="auto" w:fill="FFFFFF"/>
        </w:rPr>
        <w:t xml:space="preserve"> </w:t>
      </w:r>
      <w:r w:rsidRPr="003F0DBC">
        <w:rPr>
          <w:rFonts w:ascii="Times New Roman" w:hAnsi="Times New Roman"/>
          <w:i/>
          <w:szCs w:val="28"/>
        </w:rPr>
        <w:t xml:space="preserve">tại các địa </w:t>
      </w:r>
      <w:r w:rsidR="00D8166B" w:rsidRPr="003F0DBC">
        <w:rPr>
          <w:rFonts w:ascii="Times New Roman" w:hAnsi="Times New Roman"/>
          <w:i/>
          <w:szCs w:val="28"/>
        </w:rPr>
        <w:t>phương).</w:t>
      </w:r>
    </w:p>
    <w:p w14:paraId="0E7AF846" w14:textId="72A110B6" w:rsidR="001E3DDD" w:rsidRPr="003F0DBC" w:rsidRDefault="001E3DDD" w:rsidP="00C2663D">
      <w:pPr>
        <w:pStyle w:val="BodyTextIndent"/>
        <w:tabs>
          <w:tab w:val="left" w:pos="840"/>
        </w:tabs>
        <w:spacing w:before="60" w:after="80"/>
        <w:ind w:right="0"/>
        <w:rPr>
          <w:rFonts w:ascii="Times New Roman" w:hAnsi="Times New Roman"/>
          <w:i/>
          <w:szCs w:val="28"/>
        </w:rPr>
      </w:pPr>
      <w:r w:rsidRPr="003F0DBC">
        <w:rPr>
          <w:rFonts w:ascii="Times New Roman" w:hAnsi="Times New Roman"/>
          <w:i/>
          <w:szCs w:val="28"/>
        </w:rPr>
        <w:t>b)</w:t>
      </w:r>
      <w:r w:rsidR="005A6876" w:rsidRPr="003F0DBC">
        <w:rPr>
          <w:rFonts w:ascii="Times New Roman" w:hAnsi="Times New Roman"/>
          <w:i/>
          <w:szCs w:val="28"/>
        </w:rPr>
        <w:t xml:space="preserve"> </w:t>
      </w:r>
      <w:r w:rsidR="00C310B9" w:rsidRPr="003F0DBC">
        <w:rPr>
          <w:rFonts w:ascii="Times New Roman" w:hAnsi="Times New Roman"/>
          <w:i/>
          <w:szCs w:val="28"/>
        </w:rPr>
        <w:t>T</w:t>
      </w:r>
      <w:r w:rsidR="00220111" w:rsidRPr="003F0DBC">
        <w:rPr>
          <w:rFonts w:ascii="Times New Roman" w:hAnsi="Times New Roman"/>
          <w:i/>
          <w:szCs w:val="28"/>
        </w:rPr>
        <w:t>iến độ</w:t>
      </w:r>
      <w:r w:rsidR="00C310B9" w:rsidRPr="003F0DBC">
        <w:rPr>
          <w:rFonts w:ascii="Times New Roman" w:hAnsi="Times New Roman"/>
          <w:i/>
          <w:szCs w:val="28"/>
        </w:rPr>
        <w:t xml:space="preserve"> </w:t>
      </w:r>
      <w:r w:rsidR="00220111" w:rsidRPr="003F0DBC">
        <w:rPr>
          <w:rFonts w:ascii="Times New Roman" w:hAnsi="Times New Roman"/>
          <w:i/>
          <w:szCs w:val="28"/>
        </w:rPr>
        <w:t>giải quyết TTHC</w:t>
      </w:r>
      <w:r w:rsidR="005A6876" w:rsidRPr="003F0DBC">
        <w:rPr>
          <w:rFonts w:ascii="Times New Roman" w:hAnsi="Times New Roman"/>
          <w:szCs w:val="28"/>
        </w:rPr>
        <w:t>:</w:t>
      </w:r>
      <w:r w:rsidR="005A6876" w:rsidRPr="003F0DBC">
        <w:rPr>
          <w:rFonts w:ascii="Times New Roman" w:hAnsi="Times New Roman"/>
          <w:i/>
          <w:szCs w:val="28"/>
        </w:rPr>
        <w:t xml:space="preserve"> </w:t>
      </w:r>
    </w:p>
    <w:p w14:paraId="28BBCC33" w14:textId="2D585F5D" w:rsidR="000F6E81" w:rsidRPr="003F0DBC" w:rsidRDefault="000F6E81"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xml:space="preserve">Tỷ lệ hồ sơ TTHC xử lý đúng hoặc trước hạn tính trên số lượng hồ sơ được đồng bộ trên Cổng DVCQG tại </w:t>
      </w:r>
      <w:r w:rsidR="00865295" w:rsidRPr="003F0DBC">
        <w:rPr>
          <w:rFonts w:ascii="Times New Roman" w:hAnsi="Times New Roman"/>
          <w:szCs w:val="28"/>
        </w:rPr>
        <w:t xml:space="preserve">các </w:t>
      </w:r>
      <w:r w:rsidRPr="003F0DBC">
        <w:rPr>
          <w:rFonts w:ascii="Times New Roman" w:hAnsi="Times New Roman"/>
          <w:szCs w:val="28"/>
        </w:rPr>
        <w:t xml:space="preserve">bộ, ngành đạt </w:t>
      </w:r>
      <w:r w:rsidR="003F0C26" w:rsidRPr="003F0DBC">
        <w:rPr>
          <w:rFonts w:ascii="Times New Roman" w:hAnsi="Times New Roman"/>
          <w:b/>
          <w:szCs w:val="28"/>
        </w:rPr>
        <w:t>8,33</w:t>
      </w:r>
      <w:r w:rsidRPr="003F0DBC">
        <w:rPr>
          <w:rFonts w:ascii="Times New Roman" w:hAnsi="Times New Roman"/>
          <w:b/>
          <w:szCs w:val="28"/>
        </w:rPr>
        <w:t>%</w:t>
      </w:r>
      <w:r w:rsidRPr="003F0DBC">
        <w:rPr>
          <w:rFonts w:ascii="Times New Roman" w:hAnsi="Times New Roman"/>
          <w:szCs w:val="28"/>
        </w:rPr>
        <w:t xml:space="preserve"> (</w:t>
      </w:r>
      <w:r w:rsidR="003F0C26" w:rsidRPr="003F0DBC">
        <w:rPr>
          <w:rFonts w:ascii="Times New Roman" w:hAnsi="Times New Roman"/>
          <w:i/>
          <w:szCs w:val="28"/>
        </w:rPr>
        <w:t>100.099</w:t>
      </w:r>
      <w:r w:rsidRPr="003F0DBC">
        <w:rPr>
          <w:rFonts w:ascii="Times New Roman" w:hAnsi="Times New Roman"/>
          <w:i/>
          <w:szCs w:val="28"/>
        </w:rPr>
        <w:t>/</w:t>
      </w:r>
      <w:r w:rsidR="003F0C26" w:rsidRPr="003F0DBC">
        <w:rPr>
          <w:rFonts w:ascii="Times New Roman" w:hAnsi="Times New Roman"/>
          <w:i/>
          <w:szCs w:val="28"/>
          <w:shd w:val="clear" w:color="auto" w:fill="FFFFFF"/>
        </w:rPr>
        <w:t xml:space="preserve">1.201.674 </w:t>
      </w:r>
      <w:r w:rsidRPr="003F0DBC">
        <w:rPr>
          <w:rFonts w:ascii="Times New Roman" w:hAnsi="Times New Roman"/>
          <w:i/>
          <w:szCs w:val="28"/>
        </w:rPr>
        <w:t>hồ sơ</w:t>
      </w:r>
      <w:r w:rsidRPr="003F0DBC">
        <w:rPr>
          <w:rFonts w:ascii="Times New Roman" w:hAnsi="Times New Roman"/>
          <w:szCs w:val="28"/>
        </w:rPr>
        <w:t xml:space="preserve">) và tại các địa phương đạt </w:t>
      </w:r>
      <w:r w:rsidR="007722AA" w:rsidRPr="003F0DBC">
        <w:rPr>
          <w:rFonts w:ascii="Times New Roman" w:hAnsi="Times New Roman"/>
          <w:b/>
          <w:szCs w:val="28"/>
        </w:rPr>
        <w:t>80,38</w:t>
      </w:r>
      <w:r w:rsidRPr="003F0DBC">
        <w:rPr>
          <w:rFonts w:ascii="Times New Roman" w:hAnsi="Times New Roman"/>
          <w:b/>
          <w:szCs w:val="28"/>
        </w:rPr>
        <w:t>%</w:t>
      </w:r>
      <w:r w:rsidRPr="003F0DBC">
        <w:rPr>
          <w:rFonts w:ascii="Times New Roman" w:hAnsi="Times New Roman"/>
          <w:szCs w:val="28"/>
        </w:rPr>
        <w:t xml:space="preserve"> (</w:t>
      </w:r>
      <w:r w:rsidR="003C35F9" w:rsidRPr="003F0DBC">
        <w:rPr>
          <w:rFonts w:ascii="Times New Roman" w:hAnsi="Times New Roman"/>
          <w:i/>
          <w:szCs w:val="28"/>
        </w:rPr>
        <w:t>1.</w:t>
      </w:r>
      <w:r w:rsidR="007722AA" w:rsidRPr="003F0DBC">
        <w:rPr>
          <w:rFonts w:ascii="Times New Roman" w:hAnsi="Times New Roman"/>
          <w:i/>
          <w:szCs w:val="28"/>
        </w:rPr>
        <w:t>156.749</w:t>
      </w:r>
      <w:r w:rsidRPr="003F0DBC">
        <w:rPr>
          <w:rFonts w:ascii="Times New Roman" w:hAnsi="Times New Roman"/>
          <w:i/>
          <w:szCs w:val="28"/>
        </w:rPr>
        <w:t>/</w:t>
      </w:r>
      <w:r w:rsidR="007722AA" w:rsidRPr="003F0DBC">
        <w:rPr>
          <w:rFonts w:ascii="Times New Roman" w:hAnsi="Times New Roman"/>
          <w:bCs/>
          <w:i/>
          <w:szCs w:val="28"/>
          <w:shd w:val="clear" w:color="auto" w:fill="FFFFFF"/>
        </w:rPr>
        <w:t>1.439.101</w:t>
      </w:r>
      <w:r w:rsidR="007722AA" w:rsidRPr="003F0DBC">
        <w:rPr>
          <w:rFonts w:ascii="Times New Roman" w:hAnsi="Times New Roman"/>
          <w:b/>
          <w:bCs/>
          <w:i/>
          <w:szCs w:val="28"/>
          <w:shd w:val="clear" w:color="auto" w:fill="FFFFFF"/>
        </w:rPr>
        <w:t xml:space="preserve">  </w:t>
      </w:r>
      <w:r w:rsidRPr="003F0DBC">
        <w:rPr>
          <w:rFonts w:ascii="Times New Roman" w:hAnsi="Times New Roman"/>
          <w:i/>
          <w:szCs w:val="28"/>
        </w:rPr>
        <w:t>hồ sơ</w:t>
      </w:r>
      <w:r w:rsidRPr="003F0DBC">
        <w:rPr>
          <w:rFonts w:ascii="Times New Roman" w:hAnsi="Times New Roman"/>
          <w:szCs w:val="28"/>
        </w:rPr>
        <w:t>).</w:t>
      </w:r>
      <w:r w:rsidR="00865295" w:rsidRPr="003F0DBC">
        <w:rPr>
          <w:rFonts w:ascii="Times New Roman" w:hAnsi="Times New Roman"/>
          <w:spacing w:val="-10"/>
          <w:szCs w:val="28"/>
        </w:rPr>
        <w:t xml:space="preserve"> S</w:t>
      </w:r>
      <w:r w:rsidR="00865295" w:rsidRPr="003F0DBC">
        <w:rPr>
          <w:rFonts w:ascii="Times New Roman" w:hAnsi="Times New Roman"/>
          <w:szCs w:val="28"/>
        </w:rPr>
        <w:t xml:space="preserve">o với thời </w:t>
      </w:r>
      <w:r w:rsidR="00865295" w:rsidRPr="003F0DBC">
        <w:rPr>
          <w:rFonts w:ascii="Times New Roman" w:hAnsi="Times New Roman"/>
          <w:szCs w:val="28"/>
        </w:rPr>
        <w:lastRenderedPageBreak/>
        <w:t xml:space="preserve">điểm cùng kỳ năm 2024, tỷ lệ hồ sơ xử lý đúng hoặc trước hạn tại các bộ, ngành </w:t>
      </w:r>
      <w:r w:rsidR="00E07F51" w:rsidRPr="003F0DBC">
        <w:rPr>
          <w:rFonts w:ascii="Times New Roman" w:hAnsi="Times New Roman"/>
          <w:szCs w:val="28"/>
        </w:rPr>
        <w:t>giảm</w:t>
      </w:r>
      <w:r w:rsidR="00865295" w:rsidRPr="003F0DBC">
        <w:rPr>
          <w:rFonts w:ascii="Times New Roman" w:hAnsi="Times New Roman"/>
          <w:szCs w:val="28"/>
        </w:rPr>
        <w:t xml:space="preserve"> </w:t>
      </w:r>
      <w:r w:rsidR="00E07F51" w:rsidRPr="003F0DBC">
        <w:rPr>
          <w:rFonts w:ascii="Times New Roman" w:hAnsi="Times New Roman"/>
          <w:szCs w:val="28"/>
        </w:rPr>
        <w:t>0,08</w:t>
      </w:r>
      <w:r w:rsidR="00865295" w:rsidRPr="003F0DBC">
        <w:rPr>
          <w:rFonts w:ascii="Times New Roman" w:hAnsi="Times New Roman"/>
          <w:szCs w:val="28"/>
        </w:rPr>
        <w:t xml:space="preserve">% và tại các địa phương </w:t>
      </w:r>
      <w:r w:rsidR="0071565D" w:rsidRPr="003F0DBC">
        <w:rPr>
          <w:rFonts w:ascii="Times New Roman" w:hAnsi="Times New Roman"/>
          <w:szCs w:val="28"/>
        </w:rPr>
        <w:t>giảm</w:t>
      </w:r>
      <w:r w:rsidR="009E38CA" w:rsidRPr="003F0DBC">
        <w:rPr>
          <w:rFonts w:ascii="Times New Roman" w:hAnsi="Times New Roman"/>
          <w:szCs w:val="28"/>
        </w:rPr>
        <w:t xml:space="preserve"> </w:t>
      </w:r>
      <w:r w:rsidR="00E07F51" w:rsidRPr="003F0DBC">
        <w:rPr>
          <w:rFonts w:ascii="Times New Roman" w:hAnsi="Times New Roman"/>
          <w:szCs w:val="28"/>
        </w:rPr>
        <w:t>5,13</w:t>
      </w:r>
      <w:r w:rsidR="00865295" w:rsidRPr="003F0DBC">
        <w:rPr>
          <w:rFonts w:ascii="Times New Roman" w:hAnsi="Times New Roman"/>
          <w:szCs w:val="28"/>
        </w:rPr>
        <w:t>%.</w:t>
      </w:r>
    </w:p>
    <w:p w14:paraId="5047BD29" w14:textId="0BAA8BA4" w:rsidR="001E3DDD" w:rsidRPr="003F0DBC" w:rsidRDefault="001E3DDD" w:rsidP="00C2663D">
      <w:pPr>
        <w:pStyle w:val="BodyTextIndent"/>
        <w:tabs>
          <w:tab w:val="left" w:pos="840"/>
        </w:tabs>
        <w:spacing w:before="60" w:after="80"/>
        <w:ind w:right="0"/>
        <w:rPr>
          <w:rFonts w:ascii="Times New Roman" w:hAnsi="Times New Roman"/>
          <w:bCs/>
          <w:szCs w:val="28"/>
        </w:rPr>
      </w:pPr>
      <w:r w:rsidRPr="003F0DBC">
        <w:rPr>
          <w:rFonts w:ascii="Times New Roman" w:hAnsi="Times New Roman"/>
          <w:i/>
          <w:szCs w:val="28"/>
        </w:rPr>
        <w:t>c)</w:t>
      </w:r>
      <w:r w:rsidR="005A6876" w:rsidRPr="003F0DBC">
        <w:rPr>
          <w:rFonts w:ascii="Times New Roman" w:hAnsi="Times New Roman"/>
          <w:i/>
          <w:szCs w:val="28"/>
        </w:rPr>
        <w:t xml:space="preserve"> </w:t>
      </w:r>
      <w:r w:rsidR="00A30105" w:rsidRPr="003F0DBC">
        <w:rPr>
          <w:rFonts w:ascii="Times New Roman" w:hAnsi="Times New Roman"/>
          <w:i/>
          <w:szCs w:val="28"/>
        </w:rPr>
        <w:t>Kết quả</w:t>
      </w:r>
      <w:r w:rsidR="009B0787" w:rsidRPr="003F0DBC">
        <w:rPr>
          <w:rFonts w:ascii="Times New Roman" w:hAnsi="Times New Roman"/>
          <w:i/>
          <w:szCs w:val="28"/>
        </w:rPr>
        <w:t xml:space="preserve"> </w:t>
      </w:r>
      <w:r w:rsidR="00FA48F8" w:rsidRPr="003F0DBC">
        <w:rPr>
          <w:rFonts w:ascii="Times New Roman" w:hAnsi="Times New Roman"/>
          <w:bCs/>
          <w:i/>
          <w:szCs w:val="28"/>
        </w:rPr>
        <w:t>cung cấp dịch vụ công trực tuyến</w:t>
      </w:r>
      <w:r w:rsidR="005A6876" w:rsidRPr="003F0DBC">
        <w:rPr>
          <w:rFonts w:ascii="Times New Roman" w:hAnsi="Times New Roman"/>
          <w:bCs/>
          <w:i/>
          <w:szCs w:val="28"/>
        </w:rPr>
        <w:t>:</w:t>
      </w:r>
      <w:r w:rsidR="00CF0CBA" w:rsidRPr="003F0DBC">
        <w:rPr>
          <w:rFonts w:ascii="Times New Roman" w:hAnsi="Times New Roman"/>
          <w:bCs/>
          <w:szCs w:val="28"/>
        </w:rPr>
        <w:t xml:space="preserve"> </w:t>
      </w:r>
    </w:p>
    <w:p w14:paraId="18D1184E" w14:textId="403254A8" w:rsidR="000F6E81" w:rsidRPr="003F0DBC" w:rsidRDefault="000F6E81"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xml:space="preserve">- Tỷ lệ hồ sơ trực tuyến tại các bộ, ngành đạt </w:t>
      </w:r>
      <w:bookmarkStart w:id="4" w:name="_Hlk196722039"/>
      <w:r w:rsidR="007722AA" w:rsidRPr="003F0DBC">
        <w:rPr>
          <w:rFonts w:ascii="Times New Roman" w:hAnsi="Times New Roman"/>
          <w:b/>
          <w:szCs w:val="28"/>
        </w:rPr>
        <w:t>31,87</w:t>
      </w:r>
      <w:r w:rsidRPr="003F0DBC">
        <w:rPr>
          <w:rFonts w:ascii="Times New Roman" w:hAnsi="Times New Roman"/>
          <w:b/>
          <w:szCs w:val="28"/>
        </w:rPr>
        <w:t>%</w:t>
      </w:r>
      <w:r w:rsidRPr="003F0DBC">
        <w:rPr>
          <w:rFonts w:ascii="Times New Roman" w:hAnsi="Times New Roman"/>
          <w:szCs w:val="28"/>
        </w:rPr>
        <w:t xml:space="preserve"> </w:t>
      </w:r>
      <w:bookmarkEnd w:id="4"/>
      <w:r w:rsidRPr="003F0DBC">
        <w:rPr>
          <w:rFonts w:ascii="Times New Roman" w:hAnsi="Times New Roman"/>
          <w:szCs w:val="28"/>
        </w:rPr>
        <w:t>(</w:t>
      </w:r>
      <w:r w:rsidR="007722AA" w:rsidRPr="003F0DBC">
        <w:rPr>
          <w:rFonts w:ascii="Times New Roman" w:hAnsi="Times New Roman"/>
          <w:i/>
          <w:szCs w:val="28"/>
        </w:rPr>
        <w:t>382.974</w:t>
      </w:r>
      <w:r w:rsidRPr="003F0DBC">
        <w:rPr>
          <w:rFonts w:ascii="Times New Roman" w:hAnsi="Times New Roman"/>
          <w:i/>
          <w:szCs w:val="28"/>
        </w:rPr>
        <w:t>/</w:t>
      </w:r>
      <w:r w:rsidR="007722AA" w:rsidRPr="003F0DBC">
        <w:rPr>
          <w:rFonts w:ascii="Times New Roman" w:hAnsi="Times New Roman"/>
          <w:i/>
          <w:szCs w:val="28"/>
        </w:rPr>
        <w:t>1.201.686</w:t>
      </w:r>
      <w:r w:rsidR="00E63BBD" w:rsidRPr="003F0DBC">
        <w:rPr>
          <w:rFonts w:ascii="Times New Roman" w:hAnsi="Times New Roman"/>
          <w:i/>
          <w:szCs w:val="28"/>
        </w:rPr>
        <w:t xml:space="preserve"> </w:t>
      </w:r>
      <w:r w:rsidRPr="003F0DBC">
        <w:rPr>
          <w:rFonts w:ascii="Times New Roman" w:hAnsi="Times New Roman"/>
          <w:i/>
          <w:szCs w:val="28"/>
        </w:rPr>
        <w:t>hồ sơ</w:t>
      </w:r>
      <w:r w:rsidRPr="003F0DBC">
        <w:rPr>
          <w:rFonts w:ascii="Times New Roman" w:hAnsi="Times New Roman"/>
          <w:szCs w:val="28"/>
        </w:rPr>
        <w:t xml:space="preserve">) và tại các địa phương đạt </w:t>
      </w:r>
      <w:bookmarkStart w:id="5" w:name="_Hlk196722049"/>
      <w:r w:rsidR="007722AA" w:rsidRPr="003F0DBC">
        <w:rPr>
          <w:rFonts w:ascii="Times New Roman" w:hAnsi="Times New Roman"/>
          <w:b/>
          <w:bCs/>
          <w:szCs w:val="28"/>
          <w:shd w:val="clear" w:color="auto" w:fill="FFFFFF"/>
        </w:rPr>
        <w:t>52,84</w:t>
      </w:r>
      <w:r w:rsidRPr="003F0DBC">
        <w:rPr>
          <w:rFonts w:ascii="Times New Roman" w:hAnsi="Times New Roman"/>
          <w:b/>
          <w:szCs w:val="28"/>
        </w:rPr>
        <w:t>%</w:t>
      </w:r>
      <w:r w:rsidRPr="003F0DBC">
        <w:rPr>
          <w:rFonts w:ascii="Times New Roman" w:hAnsi="Times New Roman"/>
          <w:szCs w:val="28"/>
        </w:rPr>
        <w:t xml:space="preserve"> </w:t>
      </w:r>
      <w:bookmarkEnd w:id="5"/>
      <w:r w:rsidRPr="003F0DBC">
        <w:rPr>
          <w:rFonts w:ascii="Times New Roman" w:hAnsi="Times New Roman"/>
          <w:szCs w:val="28"/>
        </w:rPr>
        <w:t>(</w:t>
      </w:r>
      <w:r w:rsidR="007722AA" w:rsidRPr="003F0DBC">
        <w:rPr>
          <w:rFonts w:ascii="Times New Roman" w:hAnsi="Times New Roman"/>
          <w:bCs/>
          <w:i/>
          <w:szCs w:val="28"/>
          <w:shd w:val="clear" w:color="auto" w:fill="FFFFFF"/>
        </w:rPr>
        <w:t>760.382</w:t>
      </w:r>
      <w:r w:rsidRPr="003F0DBC">
        <w:rPr>
          <w:rFonts w:ascii="Times New Roman" w:hAnsi="Times New Roman"/>
          <w:i/>
          <w:szCs w:val="28"/>
        </w:rPr>
        <w:t>/</w:t>
      </w:r>
      <w:r w:rsidR="007722AA" w:rsidRPr="003F0DBC">
        <w:rPr>
          <w:rFonts w:ascii="Times New Roman" w:hAnsi="Times New Roman"/>
          <w:bCs/>
          <w:i/>
          <w:szCs w:val="28"/>
          <w:shd w:val="clear" w:color="auto" w:fill="FFFFFF"/>
        </w:rPr>
        <w:t>1.439.101</w:t>
      </w:r>
      <w:r w:rsidR="00820B85" w:rsidRPr="003F0DBC">
        <w:rPr>
          <w:rFonts w:ascii="Times New Roman" w:hAnsi="Times New Roman"/>
          <w:b/>
          <w:bCs/>
          <w:szCs w:val="28"/>
          <w:shd w:val="clear" w:color="auto" w:fill="FFFFFF"/>
        </w:rPr>
        <w:t xml:space="preserve"> </w:t>
      </w:r>
      <w:r w:rsidRPr="003F0DBC">
        <w:rPr>
          <w:rFonts w:ascii="Times New Roman" w:hAnsi="Times New Roman"/>
          <w:i/>
          <w:szCs w:val="28"/>
        </w:rPr>
        <w:t>hồ sơ</w:t>
      </w:r>
      <w:r w:rsidRPr="003F0DBC">
        <w:rPr>
          <w:rFonts w:ascii="Times New Roman" w:hAnsi="Times New Roman"/>
          <w:szCs w:val="28"/>
        </w:rPr>
        <w:t xml:space="preserve">). </w:t>
      </w:r>
      <w:r w:rsidR="005B1E11" w:rsidRPr="003F0DBC">
        <w:rPr>
          <w:rFonts w:ascii="Times New Roman" w:hAnsi="Times New Roman"/>
          <w:spacing w:val="-10"/>
          <w:szCs w:val="28"/>
        </w:rPr>
        <w:t>S</w:t>
      </w:r>
      <w:r w:rsidR="005B1E11" w:rsidRPr="003F0DBC">
        <w:rPr>
          <w:rFonts w:ascii="Times New Roman" w:hAnsi="Times New Roman"/>
          <w:szCs w:val="28"/>
        </w:rPr>
        <w:t xml:space="preserve">o với thời điểm cùng kỳ năm 2024, tỷ lệ hồ sơ trực tuyến tại các bộ, ngành </w:t>
      </w:r>
      <w:r w:rsidR="00011C4C" w:rsidRPr="003F0DBC">
        <w:rPr>
          <w:rFonts w:ascii="Times New Roman" w:hAnsi="Times New Roman"/>
          <w:szCs w:val="28"/>
        </w:rPr>
        <w:t xml:space="preserve">giảm </w:t>
      </w:r>
      <w:bookmarkStart w:id="6" w:name="_Hlk196722379"/>
      <w:r w:rsidR="00011C4C" w:rsidRPr="003F0DBC">
        <w:rPr>
          <w:rFonts w:ascii="Times New Roman" w:hAnsi="Times New Roman"/>
          <w:szCs w:val="28"/>
        </w:rPr>
        <w:t>2,24</w:t>
      </w:r>
      <w:r w:rsidR="005B1E11" w:rsidRPr="003F0DBC">
        <w:rPr>
          <w:rFonts w:ascii="Times New Roman" w:hAnsi="Times New Roman"/>
          <w:szCs w:val="28"/>
        </w:rPr>
        <w:t xml:space="preserve">% và tại các địa phương tăng </w:t>
      </w:r>
      <w:r w:rsidR="00011C4C" w:rsidRPr="003F0DBC">
        <w:rPr>
          <w:rFonts w:ascii="Times New Roman" w:hAnsi="Times New Roman"/>
          <w:szCs w:val="28"/>
        </w:rPr>
        <w:t>9,06</w:t>
      </w:r>
      <w:r w:rsidR="005B1E11" w:rsidRPr="003F0DBC">
        <w:rPr>
          <w:rFonts w:ascii="Times New Roman" w:hAnsi="Times New Roman"/>
          <w:szCs w:val="28"/>
        </w:rPr>
        <w:t>%.</w:t>
      </w:r>
    </w:p>
    <w:bookmarkEnd w:id="6"/>
    <w:p w14:paraId="0CEB9349" w14:textId="208A6F80" w:rsidR="000F6E81" w:rsidRPr="003F0DBC" w:rsidRDefault="000F6E81"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xml:space="preserve">- Tỷ lệ TTHC có giao dịch thanh toán trực tuyến tại các bộ, ngành đạt </w:t>
      </w:r>
      <w:r w:rsidR="00250A4D" w:rsidRPr="003F0DBC">
        <w:rPr>
          <w:rFonts w:ascii="Times New Roman" w:hAnsi="Times New Roman"/>
          <w:szCs w:val="28"/>
        </w:rPr>
        <w:t xml:space="preserve">40,63% </w:t>
      </w:r>
      <w:r w:rsidRPr="003F0DBC">
        <w:rPr>
          <w:rFonts w:ascii="Times New Roman" w:hAnsi="Times New Roman"/>
          <w:szCs w:val="28"/>
        </w:rPr>
        <w:t>(</w:t>
      </w:r>
      <w:r w:rsidR="00DB55E1" w:rsidRPr="003F0DBC">
        <w:rPr>
          <w:rFonts w:ascii="Times New Roman" w:hAnsi="Times New Roman"/>
          <w:i/>
          <w:szCs w:val="28"/>
        </w:rPr>
        <w:t>1</w:t>
      </w:r>
      <w:r w:rsidR="00250A4D" w:rsidRPr="003F0DBC">
        <w:rPr>
          <w:rFonts w:ascii="Times New Roman" w:hAnsi="Times New Roman"/>
          <w:i/>
          <w:szCs w:val="28"/>
        </w:rPr>
        <w:t>4</w:t>
      </w:r>
      <w:r w:rsidR="00DB55E1" w:rsidRPr="003F0DBC">
        <w:rPr>
          <w:rFonts w:ascii="Times New Roman" w:hAnsi="Times New Roman"/>
          <w:i/>
          <w:szCs w:val="28"/>
        </w:rPr>
        <w:t>1</w:t>
      </w:r>
      <w:r w:rsidRPr="003F0DBC">
        <w:rPr>
          <w:rFonts w:ascii="Times New Roman" w:hAnsi="Times New Roman"/>
          <w:i/>
          <w:szCs w:val="28"/>
        </w:rPr>
        <w:t>/3</w:t>
      </w:r>
      <w:r w:rsidR="00250A4D" w:rsidRPr="003F0DBC">
        <w:rPr>
          <w:rFonts w:ascii="Times New Roman" w:hAnsi="Times New Roman"/>
          <w:i/>
          <w:szCs w:val="28"/>
        </w:rPr>
        <w:t>47</w:t>
      </w:r>
      <w:r w:rsidRPr="003F0DBC">
        <w:rPr>
          <w:rFonts w:ascii="Times New Roman" w:hAnsi="Times New Roman"/>
          <w:i/>
          <w:szCs w:val="28"/>
        </w:rPr>
        <w:t xml:space="preserve"> TTHC</w:t>
      </w:r>
      <w:r w:rsidRPr="003F0DBC">
        <w:rPr>
          <w:rFonts w:ascii="Times New Roman" w:hAnsi="Times New Roman"/>
          <w:szCs w:val="28"/>
        </w:rPr>
        <w:t xml:space="preserve">) và tại các địa phương đạt </w:t>
      </w:r>
      <w:r w:rsidR="00250A4D" w:rsidRPr="003F0DBC">
        <w:rPr>
          <w:rFonts w:ascii="Times New Roman" w:hAnsi="Times New Roman"/>
          <w:szCs w:val="28"/>
        </w:rPr>
        <w:t>79,65</w:t>
      </w:r>
      <w:r w:rsidRPr="003F0DBC">
        <w:rPr>
          <w:rFonts w:ascii="Times New Roman" w:hAnsi="Times New Roman"/>
          <w:szCs w:val="28"/>
        </w:rPr>
        <w:t>% (</w:t>
      </w:r>
      <w:r w:rsidR="00250A4D" w:rsidRPr="003F0DBC">
        <w:rPr>
          <w:rFonts w:ascii="Times New Roman" w:hAnsi="Times New Roman"/>
          <w:i/>
          <w:szCs w:val="28"/>
        </w:rPr>
        <w:t>720</w:t>
      </w:r>
      <w:r w:rsidRPr="003F0DBC">
        <w:rPr>
          <w:rFonts w:ascii="Times New Roman" w:hAnsi="Times New Roman"/>
          <w:i/>
          <w:szCs w:val="28"/>
        </w:rPr>
        <w:t>/</w:t>
      </w:r>
      <w:r w:rsidR="00250A4D" w:rsidRPr="003F0DBC">
        <w:rPr>
          <w:rFonts w:ascii="Times New Roman" w:hAnsi="Times New Roman"/>
          <w:i/>
          <w:szCs w:val="28"/>
        </w:rPr>
        <w:t>904</w:t>
      </w:r>
      <w:r w:rsidRPr="003F0DBC">
        <w:rPr>
          <w:rFonts w:ascii="Times New Roman" w:hAnsi="Times New Roman"/>
          <w:i/>
          <w:szCs w:val="28"/>
        </w:rPr>
        <w:t xml:space="preserve"> TTHC</w:t>
      </w:r>
      <w:r w:rsidRPr="003F0DBC">
        <w:rPr>
          <w:rFonts w:ascii="Times New Roman" w:hAnsi="Times New Roman"/>
          <w:szCs w:val="28"/>
        </w:rPr>
        <w:t xml:space="preserve">); tỷ lệ hồ sơ thanh toán trực tuyến trên tổng số hồ sơ có yêu cầu nghĩa vụ tài chính tại các bộ, ngành đạt </w:t>
      </w:r>
      <w:r w:rsidR="0014683E" w:rsidRPr="003F0DBC">
        <w:rPr>
          <w:rFonts w:ascii="Times New Roman" w:hAnsi="Times New Roman"/>
          <w:b/>
          <w:bCs/>
          <w:szCs w:val="28"/>
          <w:shd w:val="clear" w:color="auto" w:fill="FFFFFF"/>
        </w:rPr>
        <w:t>45,45</w:t>
      </w:r>
      <w:r w:rsidRPr="003F0DBC">
        <w:rPr>
          <w:rFonts w:ascii="Times New Roman" w:hAnsi="Times New Roman"/>
          <w:szCs w:val="28"/>
        </w:rPr>
        <w:t>% (</w:t>
      </w:r>
      <w:r w:rsidR="0014683E" w:rsidRPr="003F0DBC">
        <w:rPr>
          <w:rFonts w:ascii="Times New Roman" w:hAnsi="Times New Roman"/>
          <w:i/>
          <w:szCs w:val="28"/>
        </w:rPr>
        <w:t>89.610</w:t>
      </w:r>
      <w:r w:rsidRPr="003F0DBC">
        <w:rPr>
          <w:rFonts w:ascii="Times New Roman" w:hAnsi="Times New Roman"/>
          <w:i/>
          <w:szCs w:val="28"/>
        </w:rPr>
        <w:t>/</w:t>
      </w:r>
      <w:r w:rsidR="0014683E" w:rsidRPr="003F0DBC">
        <w:rPr>
          <w:rFonts w:ascii="Times New Roman" w:hAnsi="Times New Roman"/>
          <w:i/>
          <w:szCs w:val="28"/>
        </w:rPr>
        <w:t xml:space="preserve">197.171 </w:t>
      </w:r>
      <w:r w:rsidRPr="003F0DBC">
        <w:rPr>
          <w:rFonts w:ascii="Times New Roman" w:hAnsi="Times New Roman"/>
          <w:i/>
          <w:szCs w:val="28"/>
        </w:rPr>
        <w:t>hồ sơ</w:t>
      </w:r>
      <w:r w:rsidRPr="003F0DBC">
        <w:rPr>
          <w:rFonts w:ascii="Times New Roman" w:hAnsi="Times New Roman"/>
          <w:szCs w:val="28"/>
        </w:rPr>
        <w:t xml:space="preserve">) và tại các địa phương đạt </w:t>
      </w:r>
      <w:r w:rsidR="0014683E" w:rsidRPr="003F0DBC">
        <w:rPr>
          <w:rFonts w:ascii="Times New Roman" w:hAnsi="Times New Roman"/>
          <w:b/>
          <w:bCs/>
          <w:szCs w:val="28"/>
          <w:shd w:val="clear" w:color="auto" w:fill="FFFFFF"/>
        </w:rPr>
        <w:t>58,96</w:t>
      </w:r>
      <w:r w:rsidR="0014683E" w:rsidRPr="003F0DBC">
        <w:rPr>
          <w:rFonts w:ascii="Times New Roman" w:hAnsi="Times New Roman"/>
          <w:szCs w:val="28"/>
        </w:rPr>
        <w:t>% (</w:t>
      </w:r>
      <w:r w:rsidR="0014683E" w:rsidRPr="003F0DBC">
        <w:rPr>
          <w:rFonts w:ascii="Times New Roman" w:hAnsi="Times New Roman"/>
          <w:i/>
          <w:szCs w:val="28"/>
        </w:rPr>
        <w:t>790.616/1.340.872 hồ sơ).</w:t>
      </w:r>
    </w:p>
    <w:p w14:paraId="382B07BC" w14:textId="776C32F3" w:rsidR="001E3DDD" w:rsidRPr="003F0DBC" w:rsidRDefault="001E3DDD" w:rsidP="00C2663D">
      <w:pPr>
        <w:tabs>
          <w:tab w:val="left" w:pos="993"/>
        </w:tabs>
        <w:spacing w:before="60" w:after="80"/>
        <w:ind w:firstLine="720"/>
        <w:jc w:val="both"/>
        <w:rPr>
          <w:i/>
          <w:spacing w:val="-2"/>
        </w:rPr>
      </w:pPr>
      <w:r w:rsidRPr="003F0DBC">
        <w:rPr>
          <w:i/>
          <w:spacing w:val="-2"/>
        </w:rPr>
        <w:t>d)</w:t>
      </w:r>
      <w:r w:rsidR="005A6876" w:rsidRPr="003F0DBC">
        <w:rPr>
          <w:i/>
          <w:spacing w:val="-2"/>
        </w:rPr>
        <w:t xml:space="preserve"> </w:t>
      </w:r>
      <w:r w:rsidR="00A30105" w:rsidRPr="003F0DBC">
        <w:rPr>
          <w:i/>
        </w:rPr>
        <w:t>Kết quả</w:t>
      </w:r>
      <w:r w:rsidR="00FA48F8" w:rsidRPr="003F0DBC">
        <w:rPr>
          <w:i/>
          <w:spacing w:val="-2"/>
        </w:rPr>
        <w:t xml:space="preserve"> số hóa hồ sơ, giải quyết TTHC</w:t>
      </w:r>
      <w:r w:rsidR="005A6876" w:rsidRPr="003F0DBC">
        <w:rPr>
          <w:i/>
          <w:spacing w:val="-2"/>
        </w:rPr>
        <w:t xml:space="preserve">: </w:t>
      </w:r>
    </w:p>
    <w:p w14:paraId="7B14DAFD" w14:textId="57CAAC78" w:rsidR="00E37991" w:rsidRPr="003F0DBC" w:rsidRDefault="00975C47"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xml:space="preserve">- </w:t>
      </w:r>
      <w:r w:rsidR="000F6E81" w:rsidRPr="003F0DBC">
        <w:rPr>
          <w:rFonts w:ascii="Times New Roman" w:hAnsi="Times New Roman"/>
          <w:szCs w:val="28"/>
        </w:rPr>
        <w:t xml:space="preserve">Tỷ lệ số hóa hồ sơ, kết quả giải quyết TTHC tại các bộ, ngành đạt </w:t>
      </w:r>
      <w:bookmarkStart w:id="7" w:name="_Hlk196722062"/>
      <w:r w:rsidR="009F692B" w:rsidRPr="003F0DBC">
        <w:rPr>
          <w:rFonts w:ascii="Times New Roman" w:hAnsi="Times New Roman"/>
          <w:b/>
          <w:szCs w:val="28"/>
        </w:rPr>
        <w:t>30,75</w:t>
      </w:r>
      <w:r w:rsidR="000F6E81" w:rsidRPr="003F0DBC">
        <w:rPr>
          <w:rFonts w:ascii="Times New Roman" w:hAnsi="Times New Roman"/>
          <w:b/>
          <w:szCs w:val="28"/>
        </w:rPr>
        <w:t>%</w:t>
      </w:r>
      <w:r w:rsidR="000F6E81" w:rsidRPr="003F0DBC">
        <w:rPr>
          <w:rFonts w:ascii="Times New Roman" w:hAnsi="Times New Roman"/>
          <w:szCs w:val="28"/>
        </w:rPr>
        <w:t xml:space="preserve"> </w:t>
      </w:r>
      <w:bookmarkEnd w:id="7"/>
      <w:r w:rsidR="000F6E81" w:rsidRPr="003F0DBC">
        <w:rPr>
          <w:rFonts w:ascii="Times New Roman" w:hAnsi="Times New Roman"/>
          <w:spacing w:val="-10"/>
          <w:szCs w:val="28"/>
        </w:rPr>
        <w:t>(</w:t>
      </w:r>
      <w:r w:rsidR="004B2D14" w:rsidRPr="003F0DBC">
        <w:rPr>
          <w:rFonts w:ascii="Times New Roman" w:hAnsi="Times New Roman"/>
          <w:i/>
          <w:spacing w:val="-10"/>
          <w:szCs w:val="28"/>
        </w:rPr>
        <w:t>409.461/1.331.758</w:t>
      </w:r>
      <w:r w:rsidR="000F6E81" w:rsidRPr="003F0DBC">
        <w:rPr>
          <w:rFonts w:ascii="Times New Roman" w:hAnsi="Times New Roman"/>
          <w:i/>
          <w:spacing w:val="-10"/>
          <w:szCs w:val="28"/>
        </w:rPr>
        <w:t xml:space="preserve"> hồ sơ</w:t>
      </w:r>
      <w:r w:rsidR="000F6E81" w:rsidRPr="003F0DBC">
        <w:rPr>
          <w:rFonts w:ascii="Times New Roman" w:hAnsi="Times New Roman"/>
          <w:spacing w:val="-10"/>
          <w:szCs w:val="28"/>
        </w:rPr>
        <w:t xml:space="preserve">) và tại các địa phương đạt </w:t>
      </w:r>
      <w:bookmarkStart w:id="8" w:name="_Hlk196722070"/>
      <w:r w:rsidR="004B4698" w:rsidRPr="003F0DBC">
        <w:rPr>
          <w:rFonts w:ascii="Times New Roman" w:hAnsi="Times New Roman"/>
          <w:b/>
          <w:spacing w:val="-10"/>
          <w:szCs w:val="28"/>
        </w:rPr>
        <w:t>64,62</w:t>
      </w:r>
      <w:r w:rsidR="000F6E81" w:rsidRPr="003F0DBC">
        <w:rPr>
          <w:rFonts w:ascii="Times New Roman" w:hAnsi="Times New Roman"/>
          <w:b/>
          <w:spacing w:val="-10"/>
          <w:szCs w:val="28"/>
        </w:rPr>
        <w:t>%</w:t>
      </w:r>
      <w:r w:rsidR="000F6E81" w:rsidRPr="003F0DBC">
        <w:rPr>
          <w:rFonts w:ascii="Times New Roman" w:hAnsi="Times New Roman"/>
          <w:spacing w:val="-10"/>
          <w:szCs w:val="28"/>
        </w:rPr>
        <w:t xml:space="preserve"> </w:t>
      </w:r>
      <w:bookmarkEnd w:id="8"/>
      <w:r w:rsidR="000F6E81" w:rsidRPr="003F0DBC">
        <w:rPr>
          <w:rFonts w:ascii="Times New Roman" w:hAnsi="Times New Roman"/>
          <w:spacing w:val="-10"/>
          <w:szCs w:val="28"/>
        </w:rPr>
        <w:t>(</w:t>
      </w:r>
      <w:r w:rsidR="004B4698" w:rsidRPr="003F0DBC">
        <w:rPr>
          <w:rFonts w:ascii="Times New Roman" w:hAnsi="Times New Roman"/>
          <w:i/>
          <w:spacing w:val="-10"/>
          <w:szCs w:val="28"/>
        </w:rPr>
        <w:t>929.947</w:t>
      </w:r>
      <w:r w:rsidR="000F6E81" w:rsidRPr="003F0DBC">
        <w:rPr>
          <w:rFonts w:ascii="Times New Roman" w:hAnsi="Times New Roman"/>
          <w:i/>
          <w:spacing w:val="-10"/>
          <w:szCs w:val="28"/>
        </w:rPr>
        <w:t>/</w:t>
      </w:r>
      <w:r w:rsidR="004B4698" w:rsidRPr="003F0DBC">
        <w:rPr>
          <w:rFonts w:ascii="Times New Roman" w:hAnsi="Times New Roman"/>
          <w:bCs/>
          <w:i/>
          <w:szCs w:val="28"/>
          <w:shd w:val="clear" w:color="auto" w:fill="FFFFFF"/>
        </w:rPr>
        <w:t>1.439.101</w:t>
      </w:r>
      <w:r w:rsidR="004B4698" w:rsidRPr="003F0DBC">
        <w:rPr>
          <w:rFonts w:ascii="Times New Roman" w:hAnsi="Times New Roman"/>
          <w:b/>
          <w:bCs/>
          <w:i/>
          <w:szCs w:val="28"/>
          <w:shd w:val="clear" w:color="auto" w:fill="FFFFFF"/>
        </w:rPr>
        <w:t xml:space="preserve"> </w:t>
      </w:r>
      <w:r w:rsidR="000F6E81" w:rsidRPr="003F0DBC">
        <w:rPr>
          <w:rFonts w:ascii="Times New Roman" w:hAnsi="Times New Roman"/>
          <w:i/>
          <w:spacing w:val="-10"/>
          <w:szCs w:val="28"/>
        </w:rPr>
        <w:t>hồ sơ</w:t>
      </w:r>
      <w:r w:rsidR="000F6E81" w:rsidRPr="003F0DBC">
        <w:rPr>
          <w:rFonts w:ascii="Times New Roman" w:hAnsi="Times New Roman"/>
          <w:spacing w:val="-10"/>
          <w:szCs w:val="28"/>
        </w:rPr>
        <w:t>)</w:t>
      </w:r>
      <w:r w:rsidRPr="003F0DBC">
        <w:rPr>
          <w:rFonts w:ascii="Times New Roman" w:hAnsi="Times New Roman"/>
          <w:spacing w:val="-10"/>
          <w:szCs w:val="28"/>
        </w:rPr>
        <w:t>. S</w:t>
      </w:r>
      <w:r w:rsidR="00E37991" w:rsidRPr="003F0DBC">
        <w:rPr>
          <w:rFonts w:ascii="Times New Roman" w:hAnsi="Times New Roman"/>
          <w:szCs w:val="28"/>
        </w:rPr>
        <w:t xml:space="preserve">o với </w:t>
      </w:r>
      <w:r w:rsidR="00913FDB" w:rsidRPr="003F0DBC">
        <w:rPr>
          <w:rFonts w:ascii="Times New Roman" w:hAnsi="Times New Roman"/>
          <w:szCs w:val="28"/>
        </w:rPr>
        <w:t xml:space="preserve">thời điểm </w:t>
      </w:r>
      <w:r w:rsidR="00E37991" w:rsidRPr="003F0DBC">
        <w:rPr>
          <w:rFonts w:ascii="Times New Roman" w:hAnsi="Times New Roman"/>
          <w:szCs w:val="28"/>
        </w:rPr>
        <w:t xml:space="preserve">cùng kỳ năm 2024, </w:t>
      </w:r>
      <w:r w:rsidR="00913FDB" w:rsidRPr="003F0DBC">
        <w:rPr>
          <w:rFonts w:ascii="Times New Roman" w:hAnsi="Times New Roman"/>
          <w:szCs w:val="28"/>
        </w:rPr>
        <w:t xml:space="preserve">tỷ lệ số hóa tại các bộ, ngành </w:t>
      </w:r>
      <w:bookmarkStart w:id="9" w:name="_Hlk196722484"/>
      <w:r w:rsidR="00011C4C" w:rsidRPr="003F0DBC">
        <w:rPr>
          <w:rFonts w:ascii="Times New Roman" w:hAnsi="Times New Roman"/>
          <w:szCs w:val="28"/>
        </w:rPr>
        <w:t>giảm</w:t>
      </w:r>
      <w:r w:rsidR="00913FDB" w:rsidRPr="003F0DBC">
        <w:rPr>
          <w:rFonts w:ascii="Times New Roman" w:hAnsi="Times New Roman"/>
          <w:szCs w:val="28"/>
        </w:rPr>
        <w:t xml:space="preserve"> </w:t>
      </w:r>
      <w:r w:rsidR="00011C4C" w:rsidRPr="003F0DBC">
        <w:rPr>
          <w:rFonts w:ascii="Times New Roman" w:hAnsi="Times New Roman"/>
          <w:szCs w:val="28"/>
        </w:rPr>
        <w:t>3,84</w:t>
      </w:r>
      <w:r w:rsidR="00913FDB" w:rsidRPr="003F0DBC">
        <w:rPr>
          <w:rFonts w:ascii="Times New Roman" w:hAnsi="Times New Roman"/>
          <w:szCs w:val="28"/>
        </w:rPr>
        <w:t>%</w:t>
      </w:r>
      <w:r w:rsidR="00913FDB" w:rsidRPr="003F0DBC">
        <w:rPr>
          <w:rFonts w:ascii="Times New Roman" w:hAnsi="Times New Roman"/>
          <w:spacing w:val="-10"/>
          <w:szCs w:val="28"/>
        </w:rPr>
        <w:t xml:space="preserve"> và tại các địa phương</w:t>
      </w:r>
      <w:r w:rsidR="001918B8" w:rsidRPr="003F0DBC">
        <w:rPr>
          <w:rFonts w:ascii="Times New Roman" w:hAnsi="Times New Roman"/>
          <w:spacing w:val="-10"/>
          <w:szCs w:val="28"/>
        </w:rPr>
        <w:t xml:space="preserve"> tăng </w:t>
      </w:r>
      <w:r w:rsidR="00011C4C" w:rsidRPr="003F0DBC">
        <w:rPr>
          <w:rFonts w:ascii="Times New Roman" w:hAnsi="Times New Roman"/>
          <w:spacing w:val="-10"/>
          <w:szCs w:val="28"/>
        </w:rPr>
        <w:t>13,76</w:t>
      </w:r>
      <w:r w:rsidR="001918B8" w:rsidRPr="003F0DBC">
        <w:rPr>
          <w:rFonts w:ascii="Times New Roman" w:hAnsi="Times New Roman"/>
          <w:spacing w:val="-10"/>
          <w:szCs w:val="28"/>
        </w:rPr>
        <w:t>%.</w:t>
      </w:r>
    </w:p>
    <w:bookmarkEnd w:id="9"/>
    <w:p w14:paraId="3F5A53D7" w14:textId="1DA956E0" w:rsidR="000F6E81" w:rsidRPr="003F0DBC" w:rsidRDefault="00975C47" w:rsidP="00C2663D">
      <w:pPr>
        <w:pStyle w:val="BodyTextIndent"/>
        <w:tabs>
          <w:tab w:val="left" w:pos="840"/>
        </w:tabs>
        <w:spacing w:before="60" w:after="80"/>
        <w:ind w:right="0"/>
        <w:rPr>
          <w:rFonts w:ascii="Times New Roman" w:hAnsi="Times New Roman"/>
          <w:szCs w:val="28"/>
        </w:rPr>
      </w:pPr>
      <w:r w:rsidRPr="003F0DBC">
        <w:rPr>
          <w:rFonts w:ascii="Times New Roman" w:hAnsi="Times New Roman"/>
          <w:szCs w:val="28"/>
        </w:rPr>
        <w:t>- T</w:t>
      </w:r>
      <w:r w:rsidR="000F6E81" w:rsidRPr="003F0DBC">
        <w:rPr>
          <w:rFonts w:ascii="Times New Roman" w:hAnsi="Times New Roman"/>
          <w:szCs w:val="28"/>
        </w:rPr>
        <w:t xml:space="preserve">ỷ lệ hồ sơ cấp kết quả bản điện tử có giá trị pháp lý để tái sử dụng tại các bộ, ngành đạt </w:t>
      </w:r>
      <w:bookmarkStart w:id="10" w:name="_Hlk196722111"/>
      <w:r w:rsidR="006F63E1" w:rsidRPr="003F0DBC">
        <w:rPr>
          <w:rFonts w:ascii="Times New Roman" w:hAnsi="Times New Roman"/>
          <w:b/>
          <w:szCs w:val="28"/>
        </w:rPr>
        <w:t>34,06</w:t>
      </w:r>
      <w:r w:rsidR="000F6E81" w:rsidRPr="003F0DBC">
        <w:rPr>
          <w:rFonts w:ascii="Times New Roman" w:hAnsi="Times New Roman"/>
          <w:b/>
          <w:szCs w:val="28"/>
        </w:rPr>
        <w:t>%</w:t>
      </w:r>
      <w:r w:rsidR="000F6E81" w:rsidRPr="003F0DBC">
        <w:rPr>
          <w:rFonts w:ascii="Times New Roman" w:hAnsi="Times New Roman"/>
          <w:szCs w:val="28"/>
        </w:rPr>
        <w:t xml:space="preserve"> </w:t>
      </w:r>
      <w:bookmarkEnd w:id="10"/>
      <w:r w:rsidR="000F6E81" w:rsidRPr="003F0DBC">
        <w:rPr>
          <w:rFonts w:ascii="Times New Roman" w:hAnsi="Times New Roman"/>
          <w:szCs w:val="28"/>
        </w:rPr>
        <w:t>(</w:t>
      </w:r>
      <w:r w:rsidR="006F63E1" w:rsidRPr="003F0DBC">
        <w:rPr>
          <w:rFonts w:ascii="Times New Roman" w:hAnsi="Times New Roman"/>
          <w:i/>
          <w:spacing w:val="-10"/>
          <w:szCs w:val="28"/>
        </w:rPr>
        <w:t>453.547</w:t>
      </w:r>
      <w:r w:rsidR="000F6E81" w:rsidRPr="003F0DBC">
        <w:rPr>
          <w:rFonts w:ascii="Times New Roman" w:hAnsi="Times New Roman"/>
          <w:i/>
          <w:spacing w:val="-10"/>
          <w:szCs w:val="28"/>
        </w:rPr>
        <w:t xml:space="preserve"> kết quả giải quyết TTHC/</w:t>
      </w:r>
      <w:r w:rsidR="00DB4A1A" w:rsidRPr="003F0DBC">
        <w:rPr>
          <w:rFonts w:ascii="Times New Roman" w:hAnsi="Times New Roman"/>
          <w:i/>
          <w:spacing w:val="-10"/>
          <w:szCs w:val="28"/>
        </w:rPr>
        <w:t>1.</w:t>
      </w:r>
      <w:r w:rsidR="006F63E1" w:rsidRPr="003F0DBC">
        <w:rPr>
          <w:rFonts w:ascii="Times New Roman" w:hAnsi="Times New Roman"/>
          <w:i/>
          <w:spacing w:val="-10"/>
          <w:szCs w:val="28"/>
        </w:rPr>
        <w:t>331.758</w:t>
      </w:r>
      <w:r w:rsidR="00611EB9" w:rsidRPr="003F0DBC">
        <w:rPr>
          <w:rFonts w:ascii="Times New Roman" w:hAnsi="Times New Roman"/>
          <w:i/>
          <w:spacing w:val="-10"/>
          <w:szCs w:val="28"/>
        </w:rPr>
        <w:t xml:space="preserve"> </w:t>
      </w:r>
      <w:r w:rsidR="000F6E81" w:rsidRPr="003F0DBC">
        <w:rPr>
          <w:rFonts w:ascii="Times New Roman" w:hAnsi="Times New Roman"/>
          <w:i/>
          <w:spacing w:val="-10"/>
          <w:szCs w:val="28"/>
        </w:rPr>
        <w:t>kết quả cần cấp</w:t>
      </w:r>
      <w:r w:rsidR="000F6E81" w:rsidRPr="003F0DBC">
        <w:rPr>
          <w:rFonts w:ascii="Times New Roman" w:hAnsi="Times New Roman"/>
          <w:szCs w:val="28"/>
        </w:rPr>
        <w:t xml:space="preserve">) và tại các địa phương đạt </w:t>
      </w:r>
      <w:bookmarkStart w:id="11" w:name="_Hlk196722123"/>
      <w:r w:rsidR="00151052" w:rsidRPr="003F0DBC">
        <w:rPr>
          <w:rFonts w:ascii="Times New Roman" w:hAnsi="Times New Roman"/>
          <w:b/>
          <w:szCs w:val="28"/>
        </w:rPr>
        <w:t>66,38</w:t>
      </w:r>
      <w:r w:rsidR="000F6E81" w:rsidRPr="003F0DBC">
        <w:rPr>
          <w:rFonts w:ascii="Times New Roman" w:hAnsi="Times New Roman"/>
          <w:b/>
          <w:szCs w:val="28"/>
        </w:rPr>
        <w:t>%</w:t>
      </w:r>
      <w:bookmarkEnd w:id="11"/>
      <w:r w:rsidR="000F6E81" w:rsidRPr="003F0DBC">
        <w:rPr>
          <w:rFonts w:ascii="Times New Roman" w:hAnsi="Times New Roman"/>
          <w:szCs w:val="28"/>
        </w:rPr>
        <w:t xml:space="preserve"> (</w:t>
      </w:r>
      <w:r w:rsidR="008B6C84" w:rsidRPr="003F0DBC">
        <w:rPr>
          <w:rFonts w:ascii="Times New Roman" w:hAnsi="Times New Roman"/>
          <w:i/>
          <w:szCs w:val="28"/>
        </w:rPr>
        <w:t>955.275</w:t>
      </w:r>
      <w:r w:rsidR="000F6E81" w:rsidRPr="003F0DBC">
        <w:rPr>
          <w:rFonts w:ascii="Times New Roman" w:hAnsi="Times New Roman"/>
          <w:i/>
          <w:szCs w:val="28"/>
        </w:rPr>
        <w:t xml:space="preserve"> kết quả giải quyết TTHC/</w:t>
      </w:r>
      <w:r w:rsidR="00151052" w:rsidRPr="003F0DBC">
        <w:rPr>
          <w:rFonts w:ascii="Times New Roman" w:hAnsi="Times New Roman"/>
          <w:bCs/>
          <w:i/>
          <w:szCs w:val="28"/>
          <w:shd w:val="clear" w:color="auto" w:fill="FFFFFF"/>
        </w:rPr>
        <w:t>1.439.101</w:t>
      </w:r>
      <w:r w:rsidR="00151052" w:rsidRPr="003F0DBC">
        <w:rPr>
          <w:rFonts w:ascii="Times New Roman" w:hAnsi="Times New Roman"/>
          <w:b/>
          <w:bCs/>
          <w:i/>
          <w:szCs w:val="28"/>
          <w:shd w:val="clear" w:color="auto" w:fill="FFFFFF"/>
        </w:rPr>
        <w:t xml:space="preserve"> </w:t>
      </w:r>
      <w:r w:rsidR="000F6E81" w:rsidRPr="003F0DBC">
        <w:rPr>
          <w:rFonts w:ascii="Times New Roman" w:hAnsi="Times New Roman"/>
          <w:i/>
          <w:szCs w:val="28"/>
        </w:rPr>
        <w:t>kết quả cần cấp</w:t>
      </w:r>
      <w:r w:rsidR="000F6E81" w:rsidRPr="003F0DBC">
        <w:rPr>
          <w:rFonts w:ascii="Times New Roman" w:hAnsi="Times New Roman"/>
          <w:szCs w:val="28"/>
        </w:rPr>
        <w:t xml:space="preserve">); tỷ lệ khai thác, sử dụng lại thông tin dữ liệu số hóa tại các bộ, ngành đạt </w:t>
      </w:r>
      <w:r w:rsidR="00130174" w:rsidRPr="003F0DBC">
        <w:rPr>
          <w:rFonts w:ascii="Times New Roman" w:hAnsi="Times New Roman"/>
          <w:b/>
          <w:szCs w:val="28"/>
        </w:rPr>
        <w:t>2,</w:t>
      </w:r>
      <w:r w:rsidR="008B6C84" w:rsidRPr="003F0DBC">
        <w:rPr>
          <w:rFonts w:ascii="Times New Roman" w:hAnsi="Times New Roman"/>
          <w:b/>
          <w:szCs w:val="28"/>
        </w:rPr>
        <w:t>56</w:t>
      </w:r>
      <w:r w:rsidR="000F6E81" w:rsidRPr="003F0DBC">
        <w:rPr>
          <w:rFonts w:ascii="Times New Roman" w:hAnsi="Times New Roman"/>
          <w:b/>
          <w:szCs w:val="28"/>
        </w:rPr>
        <w:t>%</w:t>
      </w:r>
      <w:r w:rsidR="000F6E81" w:rsidRPr="003F0DBC">
        <w:rPr>
          <w:rFonts w:ascii="Times New Roman" w:hAnsi="Times New Roman"/>
          <w:szCs w:val="28"/>
        </w:rPr>
        <w:t xml:space="preserve"> (</w:t>
      </w:r>
      <w:r w:rsidR="008B6C84" w:rsidRPr="003F0DBC">
        <w:rPr>
          <w:rFonts w:ascii="Times New Roman" w:hAnsi="Times New Roman"/>
          <w:bCs/>
          <w:szCs w:val="28"/>
          <w:shd w:val="clear" w:color="auto" w:fill="FFFFFF"/>
        </w:rPr>
        <w:t>34.080</w:t>
      </w:r>
      <w:r w:rsidR="000F6E81" w:rsidRPr="003F0DBC">
        <w:rPr>
          <w:rFonts w:ascii="Times New Roman" w:hAnsi="Times New Roman"/>
          <w:i/>
          <w:szCs w:val="28"/>
        </w:rPr>
        <w:t>/</w:t>
      </w:r>
      <w:r w:rsidR="00362C9F" w:rsidRPr="003F0DBC">
        <w:rPr>
          <w:rFonts w:ascii="Times New Roman" w:hAnsi="Times New Roman"/>
          <w:i/>
          <w:szCs w:val="28"/>
        </w:rPr>
        <w:t>1.</w:t>
      </w:r>
      <w:r w:rsidR="008B6C84" w:rsidRPr="003F0DBC">
        <w:rPr>
          <w:rFonts w:ascii="Times New Roman" w:hAnsi="Times New Roman"/>
          <w:i/>
          <w:szCs w:val="28"/>
        </w:rPr>
        <w:t>331.250</w:t>
      </w:r>
      <w:r w:rsidR="00362C9F" w:rsidRPr="003F0DBC">
        <w:rPr>
          <w:rFonts w:ascii="Times New Roman" w:hAnsi="Times New Roman"/>
          <w:i/>
          <w:szCs w:val="28"/>
        </w:rPr>
        <w:t xml:space="preserve"> </w:t>
      </w:r>
      <w:r w:rsidR="000F6E81" w:rsidRPr="003F0DBC">
        <w:rPr>
          <w:rFonts w:ascii="Times New Roman" w:hAnsi="Times New Roman"/>
          <w:i/>
          <w:szCs w:val="28"/>
        </w:rPr>
        <w:t>hồ sơ</w:t>
      </w:r>
      <w:r w:rsidR="000F6E81" w:rsidRPr="003F0DBC">
        <w:rPr>
          <w:rFonts w:ascii="Times New Roman" w:hAnsi="Times New Roman"/>
          <w:szCs w:val="28"/>
        </w:rPr>
        <w:t xml:space="preserve">) và tại các địa phương đạt </w:t>
      </w:r>
      <w:r w:rsidR="008B6C84" w:rsidRPr="003F0DBC">
        <w:rPr>
          <w:rFonts w:ascii="Times New Roman" w:hAnsi="Times New Roman"/>
          <w:b/>
          <w:szCs w:val="28"/>
        </w:rPr>
        <w:t>41,84</w:t>
      </w:r>
      <w:r w:rsidR="000F6E81" w:rsidRPr="003F0DBC">
        <w:rPr>
          <w:rFonts w:ascii="Times New Roman" w:hAnsi="Times New Roman"/>
          <w:b/>
          <w:szCs w:val="28"/>
        </w:rPr>
        <w:t>%</w:t>
      </w:r>
      <w:r w:rsidR="000F6E81" w:rsidRPr="003F0DBC">
        <w:rPr>
          <w:rFonts w:ascii="Times New Roman" w:hAnsi="Times New Roman"/>
          <w:szCs w:val="28"/>
        </w:rPr>
        <w:t xml:space="preserve"> (</w:t>
      </w:r>
      <w:r w:rsidR="008B6C84" w:rsidRPr="003F0DBC">
        <w:rPr>
          <w:rFonts w:ascii="Times New Roman" w:hAnsi="Times New Roman"/>
          <w:bCs/>
          <w:szCs w:val="28"/>
          <w:shd w:val="clear" w:color="auto" w:fill="FFFFFF"/>
        </w:rPr>
        <w:t>631.287</w:t>
      </w:r>
      <w:r w:rsidR="000F6E81" w:rsidRPr="003F0DBC">
        <w:rPr>
          <w:rFonts w:ascii="Times New Roman" w:hAnsi="Times New Roman"/>
          <w:i/>
          <w:szCs w:val="28"/>
        </w:rPr>
        <w:t>/</w:t>
      </w:r>
      <w:r w:rsidR="008B6C84" w:rsidRPr="003F0DBC">
        <w:rPr>
          <w:rFonts w:ascii="Times New Roman" w:hAnsi="Times New Roman"/>
          <w:i/>
          <w:szCs w:val="28"/>
        </w:rPr>
        <w:t>1.508.812</w:t>
      </w:r>
      <w:r w:rsidR="000F6E81" w:rsidRPr="003F0DBC">
        <w:rPr>
          <w:rFonts w:ascii="Times New Roman" w:hAnsi="Times New Roman"/>
          <w:i/>
          <w:szCs w:val="28"/>
        </w:rPr>
        <w:t xml:space="preserve"> hồ sơ</w:t>
      </w:r>
      <w:r w:rsidR="000F6E81" w:rsidRPr="003F0DBC">
        <w:rPr>
          <w:rFonts w:ascii="Times New Roman" w:hAnsi="Times New Roman"/>
          <w:szCs w:val="28"/>
        </w:rPr>
        <w:t>).</w:t>
      </w:r>
    </w:p>
    <w:p w14:paraId="4A9D9A69" w14:textId="680D3240" w:rsidR="00FA48F8" w:rsidRPr="003F0DBC" w:rsidRDefault="00FA48F8" w:rsidP="00C2663D">
      <w:pPr>
        <w:pStyle w:val="BodyTextIndent"/>
        <w:tabs>
          <w:tab w:val="left" w:pos="840"/>
        </w:tabs>
        <w:spacing w:before="60" w:after="80"/>
        <w:ind w:right="0"/>
        <w:rPr>
          <w:rFonts w:ascii="Times New Roman" w:hAnsi="Times New Roman"/>
          <w:b/>
          <w:szCs w:val="28"/>
        </w:rPr>
      </w:pPr>
      <w:r w:rsidRPr="003F0DBC">
        <w:rPr>
          <w:rFonts w:ascii="Times New Roman" w:hAnsi="Times New Roman"/>
          <w:b/>
          <w:szCs w:val="28"/>
        </w:rPr>
        <w:t xml:space="preserve">4. </w:t>
      </w:r>
      <w:r w:rsidR="007D75D5" w:rsidRPr="003F0DBC">
        <w:rPr>
          <w:rFonts w:ascii="Times New Roman" w:hAnsi="Times New Roman"/>
          <w:b/>
          <w:szCs w:val="28"/>
        </w:rPr>
        <w:t>Về</w:t>
      </w:r>
      <w:r w:rsidRPr="003F0DBC">
        <w:rPr>
          <w:rFonts w:ascii="Times New Roman" w:hAnsi="Times New Roman"/>
          <w:b/>
          <w:szCs w:val="28"/>
        </w:rPr>
        <w:t xml:space="preserve"> triển khai thí điểm Mô hình Trung tâm phục vụ hành chính công một cấp trực thuộc Ủy ban nhân dân cấp tỉnh</w:t>
      </w:r>
      <w:r w:rsidR="00504279" w:rsidRPr="003F0DBC">
        <w:rPr>
          <w:rFonts w:ascii="Times New Roman" w:hAnsi="Times New Roman"/>
          <w:b/>
          <w:szCs w:val="28"/>
        </w:rPr>
        <w:t xml:space="preserve"> và thực hiện TTHC không phụ thuộc vào địa giới hành chính</w:t>
      </w:r>
    </w:p>
    <w:p w14:paraId="6F0DE484" w14:textId="173BA0B1" w:rsidR="00F50D63" w:rsidRPr="003F0DBC" w:rsidRDefault="00504279" w:rsidP="00C2663D">
      <w:pPr>
        <w:pStyle w:val="BodyTextIndent"/>
        <w:tabs>
          <w:tab w:val="left" w:pos="840"/>
        </w:tabs>
        <w:spacing w:before="60" w:after="80"/>
        <w:ind w:right="0"/>
        <w:rPr>
          <w:rFonts w:ascii="Times New Roman" w:hAnsi="Times New Roman"/>
          <w:spacing w:val="-4"/>
          <w:szCs w:val="28"/>
          <w:lang w:val="en-US"/>
        </w:rPr>
      </w:pPr>
      <w:r w:rsidRPr="003F0DBC">
        <w:rPr>
          <w:rFonts w:ascii="Times New Roman" w:hAnsi="Times New Roman"/>
          <w:spacing w:val="-4"/>
          <w:szCs w:val="28"/>
          <w:shd w:val="clear" w:color="auto" w:fill="FFFFFF"/>
        </w:rPr>
        <w:t>Thực hiện nhiệm vụ triển khai thí điểm Mô hình Trung tâm phục vụ hành chính công một cấp trực thuộc UBND cấp tỉn</w:t>
      </w:r>
      <w:r w:rsidRPr="003F0DBC">
        <w:rPr>
          <w:rFonts w:ascii="Times New Roman" w:hAnsi="Times New Roman"/>
          <w:spacing w:val="-4"/>
          <w:szCs w:val="28"/>
        </w:rPr>
        <w:t>h</w:t>
      </w:r>
      <w:r w:rsidRPr="003F0DBC">
        <w:rPr>
          <w:rStyle w:val="FootnoteReference"/>
          <w:rFonts w:ascii="Times New Roman" w:hAnsi="Times New Roman"/>
          <w:b/>
          <w:spacing w:val="-4"/>
          <w:szCs w:val="28"/>
        </w:rPr>
        <w:footnoteReference w:id="29"/>
      </w:r>
      <w:bookmarkStart w:id="12" w:name="_Hlk180758500"/>
      <w:r w:rsidRPr="003F0DBC">
        <w:rPr>
          <w:rFonts w:ascii="Times New Roman" w:hAnsi="Times New Roman"/>
          <w:spacing w:val="-4"/>
          <w:szCs w:val="28"/>
        </w:rPr>
        <w:t xml:space="preserve">, sau khi 05/05 địa phương </w:t>
      </w:r>
      <w:r w:rsidRPr="003F0DBC">
        <w:rPr>
          <w:rFonts w:ascii="Times New Roman" w:hAnsi="Times New Roman"/>
          <w:i/>
          <w:spacing w:val="-4"/>
          <w:szCs w:val="28"/>
        </w:rPr>
        <w:t>(Hà Nội, Tp. Hồ Chí Minh, Bình Dương, Quảng Ninh, Bắc Ninh)</w:t>
      </w:r>
      <w:r w:rsidRPr="003F0DBC">
        <w:rPr>
          <w:rFonts w:ascii="Times New Roman" w:hAnsi="Times New Roman"/>
          <w:spacing w:val="-4"/>
          <w:szCs w:val="28"/>
        </w:rPr>
        <w:t xml:space="preserve"> thông qua Nghị quyết về việc thí điểm thành lập Trung tâm phục vụ hành chính công, </w:t>
      </w:r>
      <w:bookmarkEnd w:id="12"/>
      <w:r w:rsidRPr="003F0DBC">
        <w:rPr>
          <w:rFonts w:ascii="Times New Roman" w:hAnsi="Times New Roman"/>
          <w:spacing w:val="-4"/>
          <w:szCs w:val="28"/>
        </w:rPr>
        <w:t>04/05</w:t>
      </w:r>
      <w:r w:rsidRPr="003F0DBC">
        <w:rPr>
          <w:rStyle w:val="FootnoteReference"/>
          <w:rFonts w:ascii="Times New Roman" w:hAnsi="Times New Roman"/>
          <w:b/>
          <w:spacing w:val="-4"/>
          <w:szCs w:val="28"/>
        </w:rPr>
        <w:footnoteReference w:id="30"/>
      </w:r>
      <w:r w:rsidRPr="003F0DBC">
        <w:rPr>
          <w:rFonts w:ascii="Times New Roman" w:hAnsi="Times New Roman"/>
          <w:spacing w:val="-4"/>
          <w:szCs w:val="28"/>
        </w:rPr>
        <w:t xml:space="preserve"> địa phương đã ban hành Quyết định quy định chức năng, nhiệm vụ, quyền hạn và cơ cấu tổ </w:t>
      </w:r>
      <w:r w:rsidRPr="003F0DBC">
        <w:rPr>
          <w:rFonts w:ascii="Times New Roman" w:hAnsi="Times New Roman"/>
          <w:bCs/>
          <w:iCs/>
          <w:spacing w:val="-4"/>
          <w:szCs w:val="28"/>
          <w:lang w:val="en-US"/>
        </w:rPr>
        <w:t xml:space="preserve">chức và đưa các Trung tâm, chi nhánh và điểm tiếp nhận trực thuộc đi vào hoạt động. </w:t>
      </w:r>
      <w:r w:rsidR="00310AD4" w:rsidRPr="003F0DBC">
        <w:rPr>
          <w:rFonts w:ascii="Times New Roman" w:hAnsi="Times New Roman"/>
          <w:spacing w:val="-4"/>
          <w:szCs w:val="28"/>
          <w:lang w:val="en-US"/>
        </w:rPr>
        <w:t>Đến nay, Hà Nội, Bình Dương đã vận hành tương đối ổn định mô hình thí điểm theo hướng dẫn</w:t>
      </w:r>
      <w:r w:rsidR="00310AD4" w:rsidRPr="00313034">
        <w:rPr>
          <w:rStyle w:val="FootnoteReference"/>
          <w:rFonts w:ascii="Times New Roman" w:hAnsi="Times New Roman"/>
          <w:b/>
          <w:spacing w:val="-4"/>
          <w:szCs w:val="28"/>
          <w:lang w:val="en-US"/>
        </w:rPr>
        <w:footnoteReference w:id="31"/>
      </w:r>
      <w:r w:rsidR="00310AD4" w:rsidRPr="003F0DBC">
        <w:rPr>
          <w:rFonts w:ascii="Times New Roman" w:hAnsi="Times New Roman"/>
          <w:spacing w:val="-4"/>
          <w:szCs w:val="28"/>
          <w:lang w:val="en-US"/>
        </w:rPr>
        <w:t xml:space="preserve"> và tổ chức tiếp nhận không phụ thuộc vào địa giới hành chính</w:t>
      </w:r>
      <w:r w:rsidR="00DA784D" w:rsidRPr="003F0DBC">
        <w:rPr>
          <w:rFonts w:ascii="Times New Roman" w:hAnsi="Times New Roman"/>
          <w:spacing w:val="-4"/>
          <w:szCs w:val="28"/>
          <w:lang w:val="en-US"/>
        </w:rPr>
        <w:t>;</w:t>
      </w:r>
      <w:r w:rsidR="00310AD4" w:rsidRPr="003F0DBC">
        <w:rPr>
          <w:rFonts w:ascii="Times New Roman" w:hAnsi="Times New Roman"/>
          <w:spacing w:val="-4"/>
          <w:szCs w:val="28"/>
          <w:lang w:val="en-US"/>
        </w:rPr>
        <w:t xml:space="preserve"> Quảng Ninh, Bắc Ninh đã thành lập Trung tâm Phục vụ hành chính công một cấp.</w:t>
      </w:r>
      <w:r w:rsidR="00F50D63" w:rsidRPr="003F0DBC">
        <w:rPr>
          <w:rFonts w:ascii="Times New Roman" w:hAnsi="Times New Roman"/>
          <w:spacing w:val="-4"/>
          <w:szCs w:val="28"/>
          <w:lang w:val="en-US"/>
        </w:rPr>
        <w:t xml:space="preserve"> </w:t>
      </w:r>
    </w:p>
    <w:p w14:paraId="20921EE9" w14:textId="675CF9E4" w:rsidR="00310AD4" w:rsidRPr="003F0DBC" w:rsidRDefault="00F50D63" w:rsidP="00C2663D">
      <w:pPr>
        <w:pStyle w:val="BodyTextIndent"/>
        <w:tabs>
          <w:tab w:val="left" w:pos="840"/>
        </w:tabs>
        <w:spacing w:before="60" w:after="80"/>
        <w:ind w:right="0"/>
        <w:rPr>
          <w:rFonts w:ascii="Times New Roman" w:hAnsi="Times New Roman"/>
          <w:spacing w:val="-4"/>
          <w:szCs w:val="28"/>
          <w:lang w:val="en-US"/>
        </w:rPr>
      </w:pPr>
      <w:r w:rsidRPr="003F0DBC">
        <w:rPr>
          <w:rFonts w:ascii="Times New Roman" w:hAnsi="Times New Roman"/>
          <w:spacing w:val="-4"/>
          <w:szCs w:val="28"/>
          <w:lang w:val="en-US"/>
        </w:rPr>
        <w:t xml:space="preserve">Bên cạnh đó, </w:t>
      </w:r>
      <w:r w:rsidR="00492FEA" w:rsidRPr="003F0DBC">
        <w:rPr>
          <w:rFonts w:ascii="Times New Roman" w:hAnsi="Times New Roman"/>
          <w:spacing w:val="-4"/>
          <w:szCs w:val="28"/>
          <w:lang w:val="en-US"/>
        </w:rPr>
        <w:t xml:space="preserve">Văn phòng Chính phủ </w:t>
      </w:r>
      <w:r w:rsidRPr="003F0DBC">
        <w:rPr>
          <w:rFonts w:ascii="Times New Roman" w:hAnsi="Times New Roman"/>
          <w:spacing w:val="-4"/>
          <w:szCs w:val="28"/>
          <w:lang w:val="en-US"/>
        </w:rPr>
        <w:t>đ</w:t>
      </w:r>
      <w:r w:rsidR="00DA784D" w:rsidRPr="003F0DBC">
        <w:rPr>
          <w:rFonts w:ascii="Times New Roman" w:hAnsi="Times New Roman"/>
          <w:spacing w:val="-4"/>
          <w:szCs w:val="28"/>
          <w:lang w:val="en-US"/>
        </w:rPr>
        <w:t>ang tiếp thu ý kiến thẩm định của Bộ Tư pháp để</w:t>
      </w:r>
      <w:r w:rsidRPr="003F0DBC">
        <w:rPr>
          <w:rFonts w:ascii="Times New Roman" w:hAnsi="Times New Roman"/>
          <w:spacing w:val="-4"/>
          <w:szCs w:val="28"/>
          <w:lang w:val="en-US"/>
        </w:rPr>
        <w:t xml:space="preserve"> </w:t>
      </w:r>
      <w:r w:rsidR="00492FEA" w:rsidRPr="003F0DBC">
        <w:rPr>
          <w:rFonts w:ascii="Times New Roman" w:hAnsi="Times New Roman"/>
          <w:spacing w:val="-4"/>
          <w:szCs w:val="28"/>
          <w:lang w:val="en-US"/>
        </w:rPr>
        <w:t>hoàn thiện</w:t>
      </w:r>
      <w:r w:rsidR="00DA784D" w:rsidRPr="003F0DBC">
        <w:rPr>
          <w:rFonts w:ascii="Times New Roman" w:hAnsi="Times New Roman"/>
          <w:spacing w:val="-4"/>
          <w:szCs w:val="28"/>
          <w:lang w:val="en-US"/>
        </w:rPr>
        <w:t xml:space="preserve">, gửi lấy ý kiến Thành viên Chính phủ về </w:t>
      </w:r>
      <w:r w:rsidRPr="003F0DBC">
        <w:rPr>
          <w:rFonts w:ascii="Times New Roman" w:hAnsi="Times New Roman"/>
          <w:spacing w:val="-4"/>
          <w:szCs w:val="28"/>
          <w:lang w:val="en-US"/>
        </w:rPr>
        <w:t xml:space="preserve">dự thảo Nghị định thực hiện TTHC tại Bộ phận Một cửa và Cổng Dịch vụ công quốc gia thay thế Nghị định </w:t>
      </w:r>
      <w:r w:rsidRPr="003F0DBC">
        <w:rPr>
          <w:rFonts w:ascii="Times New Roman" w:hAnsi="Times New Roman"/>
          <w:spacing w:val="-4"/>
          <w:szCs w:val="28"/>
        </w:rPr>
        <w:lastRenderedPageBreak/>
        <w:t xml:space="preserve">số 61/2018/NĐ-CP </w:t>
      </w:r>
      <w:r w:rsidR="00084FFD">
        <w:rPr>
          <w:rFonts w:ascii="Times New Roman" w:hAnsi="Times New Roman"/>
          <w:spacing w:val="-4"/>
          <w:szCs w:val="28"/>
        </w:rPr>
        <w:t xml:space="preserve">ngày 23 tháng 4 năm 2018 </w:t>
      </w:r>
      <w:r w:rsidRPr="003F0DBC">
        <w:rPr>
          <w:rFonts w:ascii="Times New Roman" w:hAnsi="Times New Roman"/>
          <w:spacing w:val="-4"/>
          <w:szCs w:val="28"/>
        </w:rPr>
        <w:t>của Chính phủ về thực hiện cơ chế một cửa, một cửa liên thông trong giải quyết TTHC.</w:t>
      </w:r>
    </w:p>
    <w:p w14:paraId="0CAC8EFA" w14:textId="33A97265" w:rsidR="000C1F78" w:rsidRPr="003F0DBC" w:rsidRDefault="004B05F5" w:rsidP="00C2663D">
      <w:pPr>
        <w:pStyle w:val="BodyTextIndent"/>
        <w:tabs>
          <w:tab w:val="left" w:pos="840"/>
        </w:tabs>
        <w:spacing w:before="60" w:after="80"/>
        <w:ind w:right="0"/>
        <w:rPr>
          <w:rFonts w:ascii="Times New Roman" w:hAnsi="Times New Roman"/>
          <w:b/>
          <w:szCs w:val="28"/>
        </w:rPr>
      </w:pPr>
      <w:r w:rsidRPr="003F0DBC">
        <w:rPr>
          <w:rFonts w:ascii="Times New Roman" w:hAnsi="Times New Roman"/>
          <w:b/>
          <w:szCs w:val="28"/>
        </w:rPr>
        <w:t>5</w:t>
      </w:r>
      <w:r w:rsidR="000C1F78" w:rsidRPr="003F0DBC">
        <w:rPr>
          <w:rFonts w:ascii="Times New Roman" w:hAnsi="Times New Roman"/>
          <w:b/>
          <w:szCs w:val="28"/>
        </w:rPr>
        <w:t xml:space="preserve">. </w:t>
      </w:r>
      <w:r w:rsidR="00A30105" w:rsidRPr="003F0DBC">
        <w:rPr>
          <w:rFonts w:ascii="Times New Roman" w:hAnsi="Times New Roman"/>
          <w:b/>
          <w:szCs w:val="28"/>
        </w:rPr>
        <w:t>Về</w:t>
      </w:r>
      <w:r w:rsidR="000C1F78" w:rsidRPr="003F0DBC">
        <w:rPr>
          <w:rFonts w:ascii="Times New Roman" w:hAnsi="Times New Roman"/>
          <w:b/>
          <w:szCs w:val="28"/>
        </w:rPr>
        <w:t xml:space="preserve"> tiếp nhận và xử lý phản ánh, kiến nghị </w:t>
      </w:r>
    </w:p>
    <w:p w14:paraId="0FCAF843" w14:textId="09928466" w:rsidR="00BF52FE" w:rsidRPr="003F0DBC" w:rsidRDefault="00B90C1F" w:rsidP="00C2663D">
      <w:pPr>
        <w:pStyle w:val="BodyTextIndent"/>
        <w:tabs>
          <w:tab w:val="left" w:pos="840"/>
        </w:tabs>
        <w:spacing w:before="60" w:after="80"/>
        <w:ind w:right="0"/>
        <w:rPr>
          <w:rFonts w:ascii="Times New Roman" w:hAnsi="Times New Roman"/>
          <w:bCs/>
          <w:iCs/>
          <w:spacing w:val="-2"/>
          <w:szCs w:val="28"/>
          <w:lang w:val="en-US"/>
        </w:rPr>
      </w:pPr>
      <w:r w:rsidRPr="003F0DBC">
        <w:rPr>
          <w:rFonts w:ascii="Times New Roman" w:hAnsi="Times New Roman"/>
          <w:bCs/>
          <w:i/>
          <w:iCs/>
          <w:szCs w:val="28"/>
          <w:lang w:val="en-US"/>
        </w:rPr>
        <w:t>a)</w:t>
      </w:r>
      <w:r w:rsidRPr="003F0DBC">
        <w:rPr>
          <w:rFonts w:ascii="Times New Roman" w:hAnsi="Times New Roman"/>
          <w:bCs/>
          <w:iCs/>
          <w:szCs w:val="28"/>
          <w:lang w:val="en-US"/>
        </w:rPr>
        <w:t xml:space="preserve"> </w:t>
      </w:r>
      <w:r w:rsidR="00A30105" w:rsidRPr="003F0DBC">
        <w:rPr>
          <w:rFonts w:ascii="Times New Roman" w:hAnsi="Times New Roman"/>
          <w:bCs/>
          <w:i/>
          <w:iCs/>
          <w:szCs w:val="28"/>
          <w:lang w:val="en-US"/>
        </w:rPr>
        <w:t>Kết quả</w:t>
      </w:r>
      <w:r w:rsidRPr="003F0DBC">
        <w:rPr>
          <w:rFonts w:ascii="Times New Roman" w:hAnsi="Times New Roman"/>
          <w:bCs/>
          <w:i/>
          <w:iCs/>
          <w:szCs w:val="28"/>
          <w:lang w:val="en-US"/>
        </w:rPr>
        <w:t xml:space="preserve"> </w:t>
      </w:r>
      <w:r w:rsidRPr="003F0DBC">
        <w:rPr>
          <w:rFonts w:ascii="Times New Roman" w:hAnsi="Times New Roman"/>
          <w:i/>
          <w:szCs w:val="28"/>
        </w:rPr>
        <w:t>tiếp nhận và xử lý phản ánh, kiến nghị (PAKN) của cá nhân, tổ chức về quy định hành chính</w:t>
      </w:r>
      <w:r w:rsidR="0087633D" w:rsidRPr="003F0DBC">
        <w:rPr>
          <w:rFonts w:ascii="Times New Roman" w:hAnsi="Times New Roman"/>
          <w:bCs/>
          <w:iCs/>
          <w:szCs w:val="28"/>
          <w:lang w:val="en-US"/>
        </w:rPr>
        <w:t xml:space="preserve">: </w:t>
      </w:r>
    </w:p>
    <w:p w14:paraId="63F980AC" w14:textId="5B7C41FB" w:rsidR="005A0C04" w:rsidRPr="003F0DBC" w:rsidRDefault="00B90C1F" w:rsidP="00C2663D">
      <w:pPr>
        <w:pStyle w:val="BodyTextIndent"/>
        <w:tabs>
          <w:tab w:val="left" w:pos="840"/>
        </w:tabs>
        <w:spacing w:before="60" w:after="80"/>
        <w:ind w:right="0"/>
        <w:rPr>
          <w:rFonts w:ascii="Times New Roman" w:hAnsi="Times New Roman"/>
          <w:bCs/>
          <w:iCs/>
          <w:spacing w:val="-2"/>
          <w:szCs w:val="28"/>
          <w:lang w:val="en-US"/>
        </w:rPr>
      </w:pPr>
      <w:r w:rsidRPr="003F0DBC">
        <w:rPr>
          <w:rFonts w:ascii="Times New Roman" w:hAnsi="Times New Roman"/>
          <w:bCs/>
          <w:iCs/>
          <w:spacing w:val="-2"/>
          <w:szCs w:val="28"/>
          <w:lang w:val="en-US"/>
        </w:rPr>
        <w:t xml:space="preserve">Trong tháng, các bộ, ngành, địa phương đã tiếp nhận </w:t>
      </w:r>
      <w:r w:rsidR="002243B7" w:rsidRPr="003F0DBC">
        <w:rPr>
          <w:rFonts w:ascii="Times New Roman" w:hAnsi="Times New Roman"/>
          <w:b/>
          <w:bCs/>
          <w:iCs/>
          <w:spacing w:val="-2"/>
          <w:szCs w:val="28"/>
          <w:lang w:val="en-US"/>
        </w:rPr>
        <w:t>19.268</w:t>
      </w:r>
      <w:r w:rsidRPr="003F0DBC">
        <w:rPr>
          <w:rFonts w:ascii="Times New Roman" w:hAnsi="Times New Roman"/>
          <w:bCs/>
          <w:iCs/>
          <w:spacing w:val="-2"/>
          <w:szCs w:val="28"/>
          <w:lang w:val="en-US"/>
        </w:rPr>
        <w:t xml:space="preserve"> PAKN về quy định và hành vi hành chính (</w:t>
      </w:r>
      <w:r w:rsidRPr="003F0DBC">
        <w:rPr>
          <w:rFonts w:ascii="Times New Roman" w:hAnsi="Times New Roman"/>
          <w:bCs/>
          <w:i/>
          <w:iCs/>
          <w:spacing w:val="-2"/>
          <w:szCs w:val="28"/>
          <w:lang w:val="en-US"/>
        </w:rPr>
        <w:t>chưa bao gồm</w:t>
      </w:r>
      <w:r w:rsidR="000167BA" w:rsidRPr="003F0DBC">
        <w:rPr>
          <w:rFonts w:ascii="Times New Roman" w:hAnsi="Times New Roman"/>
          <w:bCs/>
          <w:i/>
          <w:iCs/>
          <w:spacing w:val="-2"/>
          <w:szCs w:val="28"/>
          <w:lang w:val="en-US"/>
        </w:rPr>
        <w:t xml:space="preserve"> </w:t>
      </w:r>
      <w:r w:rsidR="002243B7" w:rsidRPr="003F0DBC">
        <w:rPr>
          <w:rFonts w:ascii="Times New Roman" w:hAnsi="Times New Roman"/>
          <w:bCs/>
          <w:i/>
          <w:iCs/>
          <w:spacing w:val="-2"/>
          <w:szCs w:val="28"/>
          <w:lang w:val="en-US"/>
        </w:rPr>
        <w:t>23.765</w:t>
      </w:r>
      <w:r w:rsidR="000167BA" w:rsidRPr="003F0DBC">
        <w:rPr>
          <w:rFonts w:ascii="Times New Roman" w:hAnsi="Times New Roman"/>
          <w:bCs/>
          <w:i/>
          <w:iCs/>
          <w:spacing w:val="-2"/>
          <w:szCs w:val="28"/>
          <w:lang w:val="en-US"/>
        </w:rPr>
        <w:t xml:space="preserve"> </w:t>
      </w:r>
      <w:r w:rsidR="00960A75" w:rsidRPr="003F0DBC">
        <w:rPr>
          <w:rFonts w:ascii="Times New Roman" w:hAnsi="Times New Roman"/>
          <w:bCs/>
          <w:i/>
          <w:iCs/>
          <w:spacing w:val="-2"/>
          <w:szCs w:val="28"/>
          <w:lang w:val="en-US"/>
        </w:rPr>
        <w:t xml:space="preserve">PAKN từ </w:t>
      </w:r>
      <w:r w:rsidR="00C3520D" w:rsidRPr="003F0DBC">
        <w:rPr>
          <w:rFonts w:ascii="Times New Roman" w:hAnsi="Times New Roman"/>
          <w:bCs/>
          <w:i/>
          <w:iCs/>
          <w:spacing w:val="-2"/>
          <w:szCs w:val="28"/>
          <w:lang w:val="en-US"/>
        </w:rPr>
        <w:t xml:space="preserve">tháng </w:t>
      </w:r>
      <w:r w:rsidR="002243B7" w:rsidRPr="003F0DBC">
        <w:rPr>
          <w:rFonts w:ascii="Times New Roman" w:hAnsi="Times New Roman"/>
          <w:bCs/>
          <w:i/>
          <w:iCs/>
          <w:spacing w:val="-2"/>
          <w:szCs w:val="28"/>
          <w:lang w:val="en-US"/>
        </w:rPr>
        <w:t xml:space="preserve">4 </w:t>
      </w:r>
      <w:r w:rsidR="000E67A8" w:rsidRPr="003F0DBC">
        <w:rPr>
          <w:rFonts w:ascii="Times New Roman" w:hAnsi="Times New Roman"/>
          <w:bCs/>
          <w:i/>
          <w:iCs/>
          <w:spacing w:val="-2"/>
          <w:szCs w:val="28"/>
          <w:lang w:val="en-US"/>
        </w:rPr>
        <w:t xml:space="preserve">năm </w:t>
      </w:r>
      <w:r w:rsidR="00C3520D" w:rsidRPr="003F0DBC">
        <w:rPr>
          <w:rFonts w:ascii="Times New Roman" w:hAnsi="Times New Roman"/>
          <w:bCs/>
          <w:i/>
          <w:iCs/>
          <w:spacing w:val="-2"/>
          <w:szCs w:val="28"/>
          <w:lang w:val="en-US"/>
        </w:rPr>
        <w:t>2025</w:t>
      </w:r>
      <w:r w:rsidR="00960A75" w:rsidRPr="003F0DBC">
        <w:rPr>
          <w:rFonts w:ascii="Times New Roman" w:hAnsi="Times New Roman"/>
          <w:bCs/>
          <w:i/>
          <w:iCs/>
          <w:spacing w:val="-2"/>
          <w:szCs w:val="28"/>
          <w:lang w:val="en-US"/>
        </w:rPr>
        <w:t xml:space="preserve"> chuyển sang</w:t>
      </w:r>
      <w:r w:rsidRPr="003F0DBC">
        <w:rPr>
          <w:rFonts w:ascii="Times New Roman" w:hAnsi="Times New Roman"/>
          <w:bCs/>
          <w:iCs/>
          <w:spacing w:val="-2"/>
          <w:szCs w:val="28"/>
          <w:lang w:val="en-US"/>
        </w:rPr>
        <w:t>)</w:t>
      </w:r>
      <w:r w:rsidR="00586E09" w:rsidRPr="003F0DBC">
        <w:rPr>
          <w:rFonts w:ascii="Times New Roman" w:hAnsi="Times New Roman"/>
          <w:bCs/>
          <w:iCs/>
          <w:spacing w:val="-2"/>
          <w:szCs w:val="28"/>
          <w:lang w:val="en-US"/>
        </w:rPr>
        <w:t>;</w:t>
      </w:r>
      <w:r w:rsidR="002C21B2" w:rsidRPr="003F0DBC">
        <w:rPr>
          <w:rFonts w:ascii="Times New Roman" w:hAnsi="Times New Roman"/>
          <w:bCs/>
          <w:iCs/>
          <w:spacing w:val="-2"/>
          <w:szCs w:val="28"/>
          <w:lang w:val="en-US"/>
        </w:rPr>
        <w:t xml:space="preserve"> </w:t>
      </w:r>
      <w:r w:rsidR="00586E09" w:rsidRPr="003F0DBC">
        <w:rPr>
          <w:rFonts w:ascii="Times New Roman" w:hAnsi="Times New Roman"/>
          <w:bCs/>
          <w:iCs/>
          <w:spacing w:val="-2"/>
          <w:szCs w:val="28"/>
          <w:lang w:val="en-US"/>
        </w:rPr>
        <w:t>t</w:t>
      </w:r>
      <w:r w:rsidR="00A5784E" w:rsidRPr="003F0DBC">
        <w:rPr>
          <w:rFonts w:ascii="Times New Roman" w:hAnsi="Times New Roman"/>
          <w:bCs/>
          <w:iCs/>
          <w:spacing w:val="-2"/>
          <w:szCs w:val="28"/>
          <w:lang w:val="en-US"/>
        </w:rPr>
        <w:t xml:space="preserve">rong đó, nội dung PAKN chủ yếu về </w:t>
      </w:r>
      <w:r w:rsidR="00541676" w:rsidRPr="003F0DBC">
        <w:rPr>
          <w:rFonts w:ascii="Times New Roman" w:hAnsi="Times New Roman"/>
          <w:bCs/>
          <w:iCs/>
          <w:spacing w:val="-2"/>
          <w:szCs w:val="28"/>
          <w:lang w:val="en-US"/>
        </w:rPr>
        <w:t>h</w:t>
      </w:r>
      <w:r w:rsidR="00A5784E" w:rsidRPr="003F0DBC">
        <w:rPr>
          <w:rFonts w:ascii="Times New Roman" w:hAnsi="Times New Roman"/>
          <w:bCs/>
          <w:iCs/>
          <w:spacing w:val="-2"/>
          <w:szCs w:val="28"/>
          <w:lang w:val="en-US"/>
        </w:rPr>
        <w:t xml:space="preserve">ồ sơ liên thông </w:t>
      </w:r>
      <w:r w:rsidR="00541676" w:rsidRPr="003F0DBC">
        <w:rPr>
          <w:rFonts w:ascii="Times New Roman" w:hAnsi="Times New Roman"/>
          <w:bCs/>
          <w:iCs/>
          <w:spacing w:val="-2"/>
          <w:szCs w:val="28"/>
          <w:lang w:val="en-US"/>
        </w:rPr>
        <w:t xml:space="preserve">giải quyết TTHC </w:t>
      </w:r>
      <w:r w:rsidR="00A5784E" w:rsidRPr="003F0DBC">
        <w:rPr>
          <w:rFonts w:ascii="Times New Roman" w:hAnsi="Times New Roman"/>
          <w:bCs/>
          <w:iCs/>
          <w:spacing w:val="-2"/>
          <w:szCs w:val="28"/>
          <w:lang w:val="en-US"/>
        </w:rPr>
        <w:t>(</w:t>
      </w:r>
      <w:r w:rsidR="00A5784E" w:rsidRPr="003F0DBC">
        <w:rPr>
          <w:rFonts w:ascii="Times New Roman" w:hAnsi="Times New Roman"/>
          <w:bCs/>
          <w:i/>
          <w:iCs/>
          <w:spacing w:val="-2"/>
          <w:szCs w:val="28"/>
          <w:lang w:val="en-US"/>
        </w:rPr>
        <w:t>khai sinh, thường trú, cấp thẻ bảo hiểm y tế cho trẻ dưới 6 tuổi</w:t>
      </w:r>
      <w:r w:rsidR="00A5784E" w:rsidRPr="003F0DBC">
        <w:rPr>
          <w:rFonts w:ascii="Times New Roman" w:hAnsi="Times New Roman"/>
          <w:bCs/>
          <w:iCs/>
          <w:spacing w:val="-2"/>
          <w:szCs w:val="28"/>
          <w:lang w:val="en-US"/>
        </w:rPr>
        <w:t>), chậm trả giấy phép lái xe</w:t>
      </w:r>
      <w:r w:rsidR="002C2131" w:rsidRPr="003F0DBC">
        <w:rPr>
          <w:rFonts w:ascii="Times New Roman" w:hAnsi="Times New Roman"/>
          <w:bCs/>
          <w:iCs/>
          <w:spacing w:val="-2"/>
          <w:szCs w:val="28"/>
          <w:lang w:val="en-US"/>
        </w:rPr>
        <w:t>…</w:t>
      </w:r>
      <w:r w:rsidR="00A17B89" w:rsidRPr="003F0DBC">
        <w:rPr>
          <w:rFonts w:ascii="Times New Roman" w:hAnsi="Times New Roman"/>
          <w:bCs/>
          <w:iCs/>
          <w:spacing w:val="-2"/>
          <w:szCs w:val="28"/>
          <w:lang w:val="en-US"/>
        </w:rPr>
        <w:t xml:space="preserve"> </w:t>
      </w:r>
      <w:r w:rsidR="005A0C04" w:rsidRPr="003F0DBC">
        <w:rPr>
          <w:rFonts w:ascii="Times New Roman" w:hAnsi="Times New Roman"/>
          <w:bCs/>
          <w:iCs/>
          <w:spacing w:val="-2"/>
          <w:szCs w:val="28"/>
          <w:lang w:val="en-US"/>
        </w:rPr>
        <w:t xml:space="preserve">Đến nay, các bộ, ngành, địa phương đã xem xét, trả lời </w:t>
      </w:r>
      <w:r w:rsidR="002243B7" w:rsidRPr="003F0DBC">
        <w:rPr>
          <w:rFonts w:ascii="Times New Roman" w:hAnsi="Times New Roman"/>
          <w:b/>
          <w:bCs/>
          <w:iCs/>
          <w:spacing w:val="-2"/>
          <w:szCs w:val="28"/>
          <w:lang w:val="en-US"/>
        </w:rPr>
        <w:t>12.842</w:t>
      </w:r>
      <w:r w:rsidR="000E67A8" w:rsidRPr="003F0DBC">
        <w:rPr>
          <w:rFonts w:ascii="Times New Roman" w:hAnsi="Times New Roman"/>
          <w:b/>
          <w:bCs/>
          <w:iCs/>
          <w:spacing w:val="-2"/>
          <w:szCs w:val="28"/>
          <w:lang w:val="en-US"/>
        </w:rPr>
        <w:t>/</w:t>
      </w:r>
      <w:r w:rsidR="002243B7" w:rsidRPr="003F0DBC">
        <w:rPr>
          <w:rFonts w:ascii="Times New Roman" w:hAnsi="Times New Roman"/>
          <w:b/>
          <w:bCs/>
          <w:iCs/>
          <w:spacing w:val="-2"/>
          <w:szCs w:val="28"/>
          <w:lang w:val="en-US"/>
        </w:rPr>
        <w:t>43.033</w:t>
      </w:r>
      <w:r w:rsidR="000E67A8" w:rsidRPr="003F0DBC">
        <w:rPr>
          <w:rFonts w:ascii="Times New Roman" w:hAnsi="Times New Roman"/>
          <w:b/>
          <w:bCs/>
          <w:iCs/>
          <w:spacing w:val="-2"/>
          <w:szCs w:val="28"/>
          <w:lang w:val="en-US"/>
        </w:rPr>
        <w:t xml:space="preserve"> </w:t>
      </w:r>
      <w:r w:rsidR="008E354E" w:rsidRPr="003F0DBC">
        <w:rPr>
          <w:rFonts w:ascii="Times New Roman" w:hAnsi="Times New Roman"/>
          <w:b/>
          <w:bCs/>
          <w:iCs/>
          <w:spacing w:val="-2"/>
          <w:szCs w:val="28"/>
          <w:lang w:val="en-US"/>
        </w:rPr>
        <w:t xml:space="preserve"> </w:t>
      </w:r>
      <w:r w:rsidR="005A0C04" w:rsidRPr="003F0DBC">
        <w:rPr>
          <w:rFonts w:ascii="Times New Roman" w:hAnsi="Times New Roman"/>
          <w:bCs/>
          <w:iCs/>
          <w:spacing w:val="-2"/>
          <w:szCs w:val="28"/>
          <w:lang w:val="en-US"/>
        </w:rPr>
        <w:t xml:space="preserve">PAKN, đạt </w:t>
      </w:r>
      <w:r w:rsidR="003C6F91" w:rsidRPr="003F0DBC">
        <w:rPr>
          <w:rFonts w:ascii="Times New Roman" w:hAnsi="Times New Roman"/>
          <w:b/>
          <w:bCs/>
          <w:iCs/>
          <w:spacing w:val="-2"/>
          <w:szCs w:val="28"/>
          <w:lang w:val="en-US"/>
        </w:rPr>
        <w:t>30</w:t>
      </w:r>
      <w:r w:rsidR="005A0C04" w:rsidRPr="003F0DBC">
        <w:rPr>
          <w:rFonts w:ascii="Times New Roman" w:hAnsi="Times New Roman"/>
          <w:b/>
          <w:bCs/>
          <w:iCs/>
          <w:spacing w:val="-2"/>
          <w:szCs w:val="28"/>
          <w:lang w:val="en-US"/>
        </w:rPr>
        <w:t>%</w:t>
      </w:r>
      <w:r w:rsidR="00586E09" w:rsidRPr="003F0DBC">
        <w:rPr>
          <w:rFonts w:ascii="Times New Roman" w:hAnsi="Times New Roman"/>
          <w:bCs/>
          <w:iCs/>
          <w:spacing w:val="-2"/>
          <w:szCs w:val="28"/>
          <w:lang w:val="en-US"/>
        </w:rPr>
        <w:t>;</w:t>
      </w:r>
      <w:r w:rsidR="00473D74" w:rsidRPr="003F0DBC">
        <w:rPr>
          <w:rFonts w:ascii="Times New Roman" w:hAnsi="Times New Roman"/>
          <w:bCs/>
          <w:iCs/>
          <w:spacing w:val="-2"/>
          <w:szCs w:val="28"/>
          <w:lang w:val="en-US"/>
        </w:rPr>
        <w:t xml:space="preserve"> </w:t>
      </w:r>
      <w:r w:rsidR="00586E09" w:rsidRPr="003F0DBC">
        <w:rPr>
          <w:rFonts w:ascii="Times New Roman" w:hAnsi="Times New Roman"/>
          <w:bCs/>
          <w:iCs/>
          <w:spacing w:val="-2"/>
          <w:szCs w:val="28"/>
          <w:lang w:val="en-US"/>
        </w:rPr>
        <w:t>s</w:t>
      </w:r>
      <w:r w:rsidR="00473D74" w:rsidRPr="003F0DBC">
        <w:rPr>
          <w:rFonts w:ascii="Times New Roman" w:hAnsi="Times New Roman"/>
          <w:bCs/>
          <w:iCs/>
          <w:spacing w:val="-2"/>
          <w:szCs w:val="28"/>
          <w:lang w:val="en-US"/>
        </w:rPr>
        <w:t xml:space="preserve">ố PAKN còn tiếp tục xem xét, xử lý chuyển sang tháng sau là </w:t>
      </w:r>
      <w:r w:rsidR="002243B7" w:rsidRPr="003F0DBC">
        <w:rPr>
          <w:rFonts w:ascii="Times New Roman" w:hAnsi="Times New Roman"/>
          <w:b/>
          <w:bCs/>
          <w:iCs/>
          <w:spacing w:val="-2"/>
          <w:szCs w:val="28"/>
          <w:lang w:val="en-US"/>
        </w:rPr>
        <w:t>30.191</w:t>
      </w:r>
      <w:r w:rsidR="008E354E" w:rsidRPr="003F0DBC">
        <w:rPr>
          <w:rFonts w:ascii="Times New Roman" w:hAnsi="Times New Roman"/>
          <w:bCs/>
          <w:iCs/>
          <w:spacing w:val="-2"/>
          <w:szCs w:val="28"/>
          <w:lang w:val="en-US"/>
        </w:rPr>
        <w:t xml:space="preserve"> </w:t>
      </w:r>
      <w:r w:rsidR="00473D74" w:rsidRPr="003F0DBC">
        <w:rPr>
          <w:rFonts w:ascii="Times New Roman" w:hAnsi="Times New Roman"/>
          <w:bCs/>
          <w:iCs/>
          <w:spacing w:val="-2"/>
          <w:szCs w:val="28"/>
          <w:lang w:val="en-US"/>
        </w:rPr>
        <w:t>PAKN</w:t>
      </w:r>
      <w:r w:rsidR="00A17B89" w:rsidRPr="003F0DBC">
        <w:rPr>
          <w:rFonts w:ascii="Times New Roman" w:hAnsi="Times New Roman"/>
          <w:bCs/>
          <w:iCs/>
          <w:spacing w:val="-2"/>
          <w:szCs w:val="28"/>
          <w:lang w:val="en-US"/>
        </w:rPr>
        <w:t xml:space="preserve"> </w:t>
      </w:r>
      <w:r w:rsidR="00A17B89" w:rsidRPr="003F0DBC">
        <w:rPr>
          <w:rFonts w:ascii="Times New Roman" w:hAnsi="Times New Roman"/>
          <w:bCs/>
          <w:i/>
          <w:iCs/>
          <w:spacing w:val="-2"/>
          <w:szCs w:val="28"/>
          <w:lang w:val="en-US"/>
        </w:rPr>
        <w:t>(Chi tiết tại Phụ lục V)</w:t>
      </w:r>
      <w:r w:rsidR="00473D74" w:rsidRPr="003F0DBC">
        <w:rPr>
          <w:rFonts w:ascii="Times New Roman" w:hAnsi="Times New Roman"/>
          <w:bCs/>
          <w:iCs/>
          <w:spacing w:val="-2"/>
          <w:szCs w:val="28"/>
          <w:lang w:val="en-US"/>
        </w:rPr>
        <w:t>.</w:t>
      </w:r>
    </w:p>
    <w:p w14:paraId="086D5C98" w14:textId="2281ADFF" w:rsidR="00483597" w:rsidRPr="003F0DBC" w:rsidRDefault="00483597" w:rsidP="00C2663D">
      <w:pPr>
        <w:pStyle w:val="BodyTextIndent"/>
        <w:tabs>
          <w:tab w:val="left" w:pos="840"/>
        </w:tabs>
        <w:spacing w:before="60" w:after="80"/>
        <w:ind w:right="0" w:firstLine="709"/>
        <w:rPr>
          <w:rFonts w:ascii="Times New Roman" w:hAnsi="Times New Roman"/>
          <w:bCs/>
          <w:i/>
          <w:iCs/>
          <w:szCs w:val="28"/>
          <w:lang w:val="en-US"/>
        </w:rPr>
      </w:pPr>
      <w:r w:rsidRPr="003F0DBC">
        <w:rPr>
          <w:rFonts w:ascii="Times New Roman" w:hAnsi="Times New Roman"/>
          <w:bCs/>
          <w:i/>
          <w:iCs/>
          <w:szCs w:val="28"/>
          <w:lang w:val="en-US"/>
        </w:rPr>
        <w:t>b) Tình hình, kết quả xử lý đối với kiến nghị của thành viên Hội đồng tư vấn cải cách TTHC gửi Tổ công tác cải cách TTHC của Thủ tướng Chính phủ</w:t>
      </w:r>
    </w:p>
    <w:p w14:paraId="63FCC5F5" w14:textId="15040BAC" w:rsidR="00754A50" w:rsidRPr="003F0DBC" w:rsidRDefault="00754A50" w:rsidP="00C2663D">
      <w:pPr>
        <w:pStyle w:val="BodyTextIndent"/>
        <w:tabs>
          <w:tab w:val="left" w:pos="840"/>
        </w:tabs>
        <w:spacing w:before="60" w:after="80"/>
        <w:ind w:right="0" w:firstLine="709"/>
        <w:rPr>
          <w:rFonts w:ascii="Times New Roman" w:hAnsi="Times New Roman"/>
          <w:bCs/>
          <w:i/>
          <w:iCs/>
          <w:szCs w:val="28"/>
          <w:lang w:val="en-US"/>
        </w:rPr>
      </w:pPr>
      <w:r w:rsidRPr="003F0DBC">
        <w:rPr>
          <w:rFonts w:ascii="Times New Roman" w:hAnsi="Times New Roman"/>
          <w:szCs w:val="28"/>
          <w:shd w:val="clear" w:color="auto" w:fill="FFFFFF"/>
        </w:rPr>
        <w:t xml:space="preserve">Trong tháng, </w:t>
      </w:r>
      <w:r w:rsidR="0022527A" w:rsidRPr="003F0DBC">
        <w:rPr>
          <w:rFonts w:ascii="Times New Roman" w:hAnsi="Times New Roman"/>
          <w:szCs w:val="28"/>
          <w:shd w:val="clear" w:color="auto" w:fill="FFFFFF"/>
        </w:rPr>
        <w:t xml:space="preserve">Cơ quan thường trực Tổ công tác đã tiếp nhận và chuyển các bộ, địa phương liên quan để xem xét, xử lý theo thẩm quyền đối với </w:t>
      </w:r>
      <w:r w:rsidR="0022527A" w:rsidRPr="00313034">
        <w:rPr>
          <w:rFonts w:ascii="Times New Roman" w:hAnsi="Times New Roman"/>
          <w:b/>
          <w:szCs w:val="28"/>
          <w:shd w:val="clear" w:color="auto" w:fill="FFFFFF"/>
        </w:rPr>
        <w:t>09</w:t>
      </w:r>
      <w:r w:rsidR="0022527A" w:rsidRPr="003F0DBC">
        <w:rPr>
          <w:rFonts w:ascii="Times New Roman" w:hAnsi="Times New Roman"/>
          <w:szCs w:val="28"/>
          <w:shd w:val="clear" w:color="auto" w:fill="FFFFFF"/>
        </w:rPr>
        <w:t xml:space="preserve"> đề xuất, kiến nghị của thành viên Hội đồng tư vấn cải cách TTHC, nâng tổng số đề xuất, kiến nghị tiếp nhận từ đầu năm 2025 đến nay là </w:t>
      </w:r>
      <w:r w:rsidR="0022527A" w:rsidRPr="00313034">
        <w:rPr>
          <w:rFonts w:ascii="Times New Roman" w:hAnsi="Times New Roman"/>
          <w:b/>
          <w:szCs w:val="28"/>
          <w:shd w:val="clear" w:color="auto" w:fill="FFFFFF"/>
        </w:rPr>
        <w:t>20</w:t>
      </w:r>
      <w:r w:rsidR="0022527A" w:rsidRPr="003F0DBC">
        <w:rPr>
          <w:rFonts w:ascii="Times New Roman" w:hAnsi="Times New Roman"/>
          <w:szCs w:val="28"/>
          <w:shd w:val="clear" w:color="auto" w:fill="FFFFFF"/>
        </w:rPr>
        <w:t xml:space="preserve"> đề xuất, kiến nghị; các bộ, địa phương đã xử lý, trả lời </w:t>
      </w:r>
      <w:r w:rsidR="0022527A" w:rsidRPr="00313034">
        <w:rPr>
          <w:rFonts w:ascii="Times New Roman" w:hAnsi="Times New Roman"/>
          <w:b/>
          <w:szCs w:val="28"/>
          <w:shd w:val="clear" w:color="auto" w:fill="FFFFFF"/>
        </w:rPr>
        <w:t>01/20</w:t>
      </w:r>
      <w:r w:rsidR="0022527A" w:rsidRPr="003F0DBC">
        <w:rPr>
          <w:rFonts w:ascii="Times New Roman" w:hAnsi="Times New Roman"/>
          <w:szCs w:val="28"/>
          <w:shd w:val="clear" w:color="auto" w:fill="FFFFFF"/>
        </w:rPr>
        <w:t xml:space="preserve"> đề xuất, kiến nghị, còn </w:t>
      </w:r>
      <w:r w:rsidR="0022527A" w:rsidRPr="00313034">
        <w:rPr>
          <w:rFonts w:ascii="Times New Roman" w:hAnsi="Times New Roman"/>
          <w:b/>
          <w:szCs w:val="28"/>
          <w:shd w:val="clear" w:color="auto" w:fill="FFFFFF"/>
        </w:rPr>
        <w:t>19</w:t>
      </w:r>
      <w:r w:rsidR="0022527A" w:rsidRPr="003F0DBC">
        <w:rPr>
          <w:rFonts w:ascii="Times New Roman" w:hAnsi="Times New Roman"/>
          <w:szCs w:val="28"/>
          <w:shd w:val="clear" w:color="auto" w:fill="FFFFFF"/>
        </w:rPr>
        <w:t xml:space="preserve"> đề xuất, kiến nghị thuộc phạm vi xử lý của </w:t>
      </w:r>
      <w:r w:rsidR="0022527A" w:rsidRPr="00313034">
        <w:rPr>
          <w:rFonts w:ascii="Times New Roman" w:hAnsi="Times New Roman"/>
          <w:b/>
          <w:szCs w:val="28"/>
          <w:shd w:val="clear" w:color="auto" w:fill="FFFFFF"/>
        </w:rPr>
        <w:t>03</w:t>
      </w:r>
      <w:r w:rsidR="0022527A" w:rsidRPr="003F0DBC">
        <w:rPr>
          <w:rFonts w:ascii="Times New Roman" w:hAnsi="Times New Roman"/>
          <w:szCs w:val="28"/>
          <w:shd w:val="clear" w:color="auto" w:fill="FFFFFF"/>
        </w:rPr>
        <w:t xml:space="preserve"> bộ, ngành</w:t>
      </w:r>
      <w:r w:rsidRPr="003F0DBC">
        <w:rPr>
          <w:rStyle w:val="FootnoteReference"/>
          <w:rFonts w:ascii="Times New Roman" w:hAnsi="Times New Roman"/>
          <w:b/>
          <w:szCs w:val="28"/>
          <w:shd w:val="clear" w:color="auto" w:fill="FFFFFF"/>
        </w:rPr>
        <w:footnoteReference w:id="32"/>
      </w:r>
      <w:r w:rsidRPr="003F0DBC">
        <w:rPr>
          <w:rFonts w:ascii="Times New Roman" w:hAnsi="Times New Roman"/>
          <w:szCs w:val="28"/>
          <w:shd w:val="clear" w:color="auto" w:fill="FFFFFF"/>
        </w:rPr>
        <w:t xml:space="preserve"> đang</w:t>
      </w:r>
      <w:r w:rsidR="00B40A4D" w:rsidRPr="003F0DBC">
        <w:rPr>
          <w:rFonts w:ascii="Times New Roman" w:hAnsi="Times New Roman"/>
          <w:szCs w:val="28"/>
          <w:shd w:val="clear" w:color="auto" w:fill="FFFFFF"/>
        </w:rPr>
        <w:t xml:space="preserve"> tiếp tục</w:t>
      </w:r>
      <w:r w:rsidRPr="003F0DBC">
        <w:rPr>
          <w:rFonts w:ascii="Times New Roman" w:hAnsi="Times New Roman"/>
          <w:szCs w:val="28"/>
          <w:shd w:val="clear" w:color="auto" w:fill="FFFFFF"/>
        </w:rPr>
        <w:t xml:space="preserve"> được nghiên cứu, xem xét trả lời.</w:t>
      </w:r>
    </w:p>
    <w:p w14:paraId="4AB1C16A" w14:textId="0E80121C" w:rsidR="00A30105" w:rsidRPr="003F0DBC" w:rsidRDefault="00754A50" w:rsidP="00C2663D">
      <w:pPr>
        <w:pStyle w:val="BodyTextIndent"/>
        <w:tabs>
          <w:tab w:val="left" w:pos="840"/>
        </w:tabs>
        <w:spacing w:before="60" w:after="80"/>
        <w:ind w:right="0"/>
        <w:rPr>
          <w:rFonts w:ascii="Times New Roman" w:hAnsi="Times New Roman"/>
          <w:i/>
          <w:szCs w:val="28"/>
          <w:shd w:val="clear" w:color="auto" w:fill="FFFFFF"/>
        </w:rPr>
      </w:pPr>
      <w:r w:rsidRPr="003F0DBC">
        <w:rPr>
          <w:rFonts w:ascii="Times New Roman" w:hAnsi="Times New Roman"/>
          <w:i/>
          <w:szCs w:val="28"/>
          <w:shd w:val="clear" w:color="auto" w:fill="FFFFFF"/>
        </w:rPr>
        <w:t>c</w:t>
      </w:r>
      <w:r w:rsidR="0075378D" w:rsidRPr="003F0DBC">
        <w:rPr>
          <w:rFonts w:ascii="Times New Roman" w:hAnsi="Times New Roman"/>
          <w:i/>
          <w:szCs w:val="28"/>
          <w:shd w:val="clear" w:color="auto" w:fill="FFFFFF"/>
        </w:rPr>
        <w:t xml:space="preserve">) </w:t>
      </w:r>
      <w:r w:rsidR="00A30105" w:rsidRPr="003F0DBC">
        <w:rPr>
          <w:rFonts w:ascii="Times New Roman" w:hAnsi="Times New Roman"/>
          <w:bCs/>
          <w:i/>
          <w:iCs/>
          <w:szCs w:val="28"/>
          <w:lang w:val="en-US"/>
        </w:rPr>
        <w:t>Kết quả xử lý</w:t>
      </w:r>
      <w:r w:rsidR="0075378D" w:rsidRPr="003F0DBC">
        <w:rPr>
          <w:rFonts w:ascii="Times New Roman" w:hAnsi="Times New Roman"/>
          <w:i/>
          <w:szCs w:val="28"/>
          <w:shd w:val="clear" w:color="auto" w:fill="FFFFFF"/>
        </w:rPr>
        <w:t xml:space="preserve"> những đề xuất, kiến nghị của các bộ, ngành, địa phương tại Báo cáo tình hình, kết quả cải cách TTHC tháng</w:t>
      </w:r>
      <w:r w:rsidR="00AB3B3F" w:rsidRPr="003F0DBC">
        <w:rPr>
          <w:rFonts w:ascii="Times New Roman" w:hAnsi="Times New Roman"/>
          <w:i/>
          <w:szCs w:val="28"/>
          <w:shd w:val="clear" w:color="auto" w:fill="FFFFFF"/>
        </w:rPr>
        <w:t xml:space="preserve">: </w:t>
      </w:r>
    </w:p>
    <w:p w14:paraId="11C25782" w14:textId="71FD7AF7" w:rsidR="00B468A5" w:rsidRPr="003F0DBC" w:rsidRDefault="00B468A5" w:rsidP="00C2663D">
      <w:pPr>
        <w:spacing w:before="60" w:after="80"/>
        <w:ind w:firstLine="720"/>
        <w:jc w:val="both"/>
        <w:rPr>
          <w:spacing w:val="-4"/>
        </w:rPr>
      </w:pPr>
      <w:r w:rsidRPr="003F0DBC">
        <w:rPr>
          <w:spacing w:val="-4"/>
        </w:rPr>
        <w:t>Trên cơ sở tổng hợp đề xuất, kiến nghị cụ thể của các bộ, ngành, địa phương tại Báo cáo tình hình, kết quả cải cách TTHC</w:t>
      </w:r>
      <w:r w:rsidR="001B3FF2" w:rsidRPr="003F0DBC">
        <w:rPr>
          <w:spacing w:val="-4"/>
        </w:rPr>
        <w:t xml:space="preserve"> tháng</w:t>
      </w:r>
      <w:r w:rsidRPr="003F0DBC">
        <w:rPr>
          <w:spacing w:val="-4"/>
        </w:rPr>
        <w:t xml:space="preserve"> </w:t>
      </w:r>
      <w:r w:rsidR="00483597" w:rsidRPr="003F0DBC">
        <w:rPr>
          <w:spacing w:val="-4"/>
        </w:rPr>
        <w:t xml:space="preserve">5 </w:t>
      </w:r>
      <w:r w:rsidRPr="003F0DBC">
        <w:rPr>
          <w:spacing w:val="-4"/>
        </w:rPr>
        <w:t>năm 2025, Văn phòng Chính phủ đã nghiên cứu và trả lời đối với những đề xuất, kiến nghị theo thẩm quyền (</w:t>
      </w:r>
      <w:r w:rsidRPr="003F0DBC">
        <w:rPr>
          <w:i/>
          <w:spacing w:val="-4"/>
        </w:rPr>
        <w:t xml:space="preserve">Chi tiết tại Phụ lục </w:t>
      </w:r>
      <w:r w:rsidR="00C3520D" w:rsidRPr="003F0DBC">
        <w:rPr>
          <w:i/>
          <w:spacing w:val="-4"/>
        </w:rPr>
        <w:t>VI</w:t>
      </w:r>
      <w:r w:rsidRPr="003F0DBC">
        <w:rPr>
          <w:spacing w:val="-4"/>
        </w:rPr>
        <w:t>); đồng thời, tổng hợp, gửi các bộ, cơ quan nghiên cứu, trả lời các đề xuất, kiến nghị thuộc thẩm quyền (</w:t>
      </w:r>
      <w:r w:rsidRPr="003F0DBC">
        <w:rPr>
          <w:i/>
          <w:spacing w:val="-4"/>
        </w:rPr>
        <w:t xml:space="preserve">Chi tiết tại Phụ lục </w:t>
      </w:r>
      <w:r w:rsidR="00A51940" w:rsidRPr="003F0DBC">
        <w:rPr>
          <w:i/>
          <w:spacing w:val="-4"/>
        </w:rPr>
        <w:t>VII</w:t>
      </w:r>
      <w:r w:rsidRPr="003F0DBC">
        <w:rPr>
          <w:spacing w:val="-4"/>
        </w:rPr>
        <w:t>).</w:t>
      </w:r>
    </w:p>
    <w:p w14:paraId="4C83C7CA" w14:textId="77777777" w:rsidR="004B05F5" w:rsidRPr="003F0DBC" w:rsidRDefault="004B05F5" w:rsidP="00C2663D">
      <w:pPr>
        <w:spacing w:before="60" w:after="80"/>
        <w:ind w:firstLine="720"/>
        <w:jc w:val="both"/>
        <w:rPr>
          <w:b/>
          <w:shd w:val="clear" w:color="auto" w:fill="FFFFFF"/>
        </w:rPr>
      </w:pPr>
      <w:r w:rsidRPr="003F0DBC">
        <w:rPr>
          <w:b/>
          <w:shd w:val="clear" w:color="auto" w:fill="FFFFFF"/>
        </w:rPr>
        <w:t>6. Công tác truyền thông về cải cách TTHC</w:t>
      </w:r>
    </w:p>
    <w:p w14:paraId="183E96BD" w14:textId="5A52C8F5" w:rsidR="00F36DD5" w:rsidRPr="003F0DBC" w:rsidRDefault="00AB5685" w:rsidP="00C2663D">
      <w:pPr>
        <w:spacing w:before="60" w:after="80"/>
        <w:ind w:firstLine="720"/>
        <w:jc w:val="both"/>
      </w:pPr>
      <w:r w:rsidRPr="003F0DBC">
        <w:t xml:space="preserve">Trong tháng, các cơ quan thông tấn, báo chí </w:t>
      </w:r>
      <w:r w:rsidR="00AD5E99" w:rsidRPr="003F0DBC">
        <w:t>tiếp tục</w:t>
      </w:r>
      <w:r w:rsidRPr="003F0DBC">
        <w:t xml:space="preserve"> chủ động</w:t>
      </w:r>
      <w:r w:rsidR="00AD5E99" w:rsidRPr="003F0DBC">
        <w:t xml:space="preserve"> đăng tải</w:t>
      </w:r>
      <w:r w:rsidRPr="003F0DBC">
        <w:t xml:space="preserve"> các </w:t>
      </w:r>
      <w:r w:rsidRPr="00313034">
        <w:rPr>
          <w:spacing w:val="-6"/>
        </w:rPr>
        <w:t>tin, bài, phóng sự... về công tác lãnh đạo, chỉ đạo điều hành của Chính phủ, Thủ tướng</w:t>
      </w:r>
      <w:r w:rsidRPr="003F0DBC">
        <w:t xml:space="preserve"> Chính phủ </w:t>
      </w:r>
      <w:r w:rsidR="00813F90" w:rsidRPr="003F0DBC">
        <w:t xml:space="preserve">cũng như sự vào cuộc tích cực của các bộ, cơ quan, địa phương </w:t>
      </w:r>
      <w:r w:rsidRPr="003F0DBC">
        <w:t>trong cải cách TTHC, cải thiện môi trường đầu tư kinh doanh</w:t>
      </w:r>
      <w:r w:rsidR="00813F90" w:rsidRPr="003F0DBC">
        <w:t>, chuyển đổi số quốc gi</w:t>
      </w:r>
      <w:r w:rsidR="00BD2A1A" w:rsidRPr="003F0DBC">
        <w:t>a</w:t>
      </w:r>
      <w:r w:rsidRPr="003F0DBC">
        <w:rPr>
          <w:rStyle w:val="FootnoteReference"/>
          <w:b/>
        </w:rPr>
        <w:footnoteReference w:id="33"/>
      </w:r>
      <w:r w:rsidRPr="003F0DBC">
        <w:t xml:space="preserve">; </w:t>
      </w:r>
      <w:r w:rsidR="00EA01B4" w:rsidRPr="003F0DBC">
        <w:t>tăng cường thông tin tham khảo về dư luận bên ngoài đánh giá các vấn đề cải cách hành chính và cải cách TTHC của Việt Nam, những vấn đề đặt ra khi Việt Nam dự kiến sáp nhập một số đơn vị hành chính cấp tỉnh</w:t>
      </w:r>
      <w:r w:rsidR="00EA01B4" w:rsidRPr="00313034">
        <w:rPr>
          <w:rStyle w:val="FootnoteReference"/>
          <w:b/>
        </w:rPr>
        <w:footnoteReference w:id="34"/>
      </w:r>
      <w:r w:rsidR="00EA01B4" w:rsidRPr="003F0DBC">
        <w:t xml:space="preserve">...; </w:t>
      </w:r>
      <w:r w:rsidRPr="003F0DBC">
        <w:t xml:space="preserve">đồng thời, phản ánh những </w:t>
      </w:r>
      <w:r w:rsidRPr="003F0DBC">
        <w:lastRenderedPageBreak/>
        <w:t>vướng mắc trong thực hiện các cơ chế, chính sách, TTHC để các bộ, cơ quan, địa phương kịp thời có giải pháp tháo gỡ</w:t>
      </w:r>
      <w:r w:rsidRPr="003F0DBC">
        <w:rPr>
          <w:rStyle w:val="FootnoteReference"/>
          <w:b/>
        </w:rPr>
        <w:footnoteReference w:id="35"/>
      </w:r>
      <w:r w:rsidRPr="003F0DBC">
        <w:t xml:space="preserve">. </w:t>
      </w:r>
    </w:p>
    <w:p w14:paraId="50622C1F" w14:textId="501BE6D9" w:rsidR="005E1BB3" w:rsidRPr="003F0DBC" w:rsidRDefault="00C751CF" w:rsidP="00C2663D">
      <w:pPr>
        <w:spacing w:before="60" w:after="80"/>
        <w:ind w:firstLine="720"/>
        <w:jc w:val="both"/>
        <w:rPr>
          <w:spacing w:val="-2"/>
        </w:rPr>
      </w:pPr>
      <w:r w:rsidRPr="003F0DBC">
        <w:rPr>
          <w:spacing w:val="-2"/>
        </w:rPr>
        <w:t>Văn phòng Chính phủ đã kịp thời cung cấp thông tin, tuyên truyền về công tác cải cách TTHC, cắt giảm, đơn giản hóa quy định kinh doanh, đổi mới cơ chế một cửa, một cửa liên thông trong giải quyết TTHC,... để các cơ quan thông tấn, báo chí theo dõi, cập nhật và đưa tin, bài về tình hình, kết quả trong công tác này</w:t>
      </w:r>
      <w:r w:rsidR="00F60F70" w:rsidRPr="003F0DBC">
        <w:rPr>
          <w:spacing w:val="-2"/>
        </w:rPr>
        <w:t xml:space="preserve">, trong đó, tập trung </w:t>
      </w:r>
      <w:r w:rsidR="005E1BB3" w:rsidRPr="003F0DBC">
        <w:rPr>
          <w:spacing w:val="-2"/>
        </w:rPr>
        <w:t>thông tin</w:t>
      </w:r>
      <w:r w:rsidR="003948D0" w:rsidRPr="003F0DBC">
        <w:rPr>
          <w:spacing w:val="-2"/>
        </w:rPr>
        <w:t>, tuyên truyền</w:t>
      </w:r>
      <w:r w:rsidR="005E1BB3" w:rsidRPr="003F0DBC">
        <w:rPr>
          <w:spacing w:val="-2"/>
        </w:rPr>
        <w:t xml:space="preserve"> </w:t>
      </w:r>
      <w:r w:rsidR="003948D0" w:rsidRPr="003F0DBC">
        <w:rPr>
          <w:spacing w:val="-2"/>
        </w:rPr>
        <w:t xml:space="preserve">về Nghị quyết </w:t>
      </w:r>
      <w:r w:rsidR="00586E09" w:rsidRPr="003F0DBC">
        <w:rPr>
          <w:spacing w:val="-2"/>
        </w:rPr>
        <w:t xml:space="preserve">số 66/NQ-CP </w:t>
      </w:r>
      <w:r w:rsidR="003948D0" w:rsidRPr="003F0DBC">
        <w:rPr>
          <w:spacing w:val="-2"/>
        </w:rPr>
        <w:t>của Chính phủ</w:t>
      </w:r>
      <w:r w:rsidR="00586E09" w:rsidRPr="003F0DBC">
        <w:rPr>
          <w:spacing w:val="-2"/>
        </w:rPr>
        <w:t xml:space="preserve">, </w:t>
      </w:r>
      <w:r w:rsidR="003948D0" w:rsidRPr="003F0DBC">
        <w:rPr>
          <w:spacing w:val="-2"/>
        </w:rPr>
        <w:t>những chỉ đạo nổi bật của Chính phủ, Thủ tướng Chính phủ về cắt giảm</w:t>
      </w:r>
      <w:r w:rsidR="00586E09" w:rsidRPr="003F0DBC">
        <w:rPr>
          <w:spacing w:val="-2"/>
        </w:rPr>
        <w:t>, đơn giản hóa</w:t>
      </w:r>
      <w:r w:rsidR="003948D0" w:rsidRPr="003F0DBC">
        <w:rPr>
          <w:spacing w:val="-2"/>
        </w:rPr>
        <w:t xml:space="preserve"> TTHC, số hóa, tái sử dụng dữ liệu số hóa TTHC.</w:t>
      </w:r>
    </w:p>
    <w:p w14:paraId="7D933AAE" w14:textId="5BA687F9" w:rsidR="00FC186C" w:rsidRPr="003F0DBC" w:rsidRDefault="000C1F78" w:rsidP="00C2663D">
      <w:pPr>
        <w:spacing w:before="60" w:after="80"/>
        <w:ind w:firstLine="720"/>
        <w:jc w:val="both"/>
        <w:rPr>
          <w:b/>
        </w:rPr>
      </w:pPr>
      <w:r w:rsidRPr="003F0DBC">
        <w:rPr>
          <w:b/>
        </w:rPr>
        <w:t xml:space="preserve">II. </w:t>
      </w:r>
      <w:r w:rsidR="00D80885" w:rsidRPr="003F0DBC">
        <w:rPr>
          <w:b/>
        </w:rPr>
        <w:t>ĐÁNH GIÁ CHUNG</w:t>
      </w:r>
    </w:p>
    <w:p w14:paraId="407C8B91" w14:textId="00FFA396" w:rsidR="005A0C04" w:rsidRPr="003F0DBC" w:rsidRDefault="005A0C04" w:rsidP="00C2663D">
      <w:pPr>
        <w:spacing w:before="60" w:after="80"/>
        <w:ind w:firstLine="720"/>
        <w:jc w:val="both"/>
        <w:rPr>
          <w:b/>
          <w:lang w:val="en-US"/>
        </w:rPr>
      </w:pPr>
      <w:r w:rsidRPr="003F0DBC">
        <w:rPr>
          <w:b/>
          <w:lang w:val="en-US"/>
        </w:rPr>
        <w:t>1. Những mặt đạt được</w:t>
      </w:r>
    </w:p>
    <w:p w14:paraId="66C5777C" w14:textId="5175E1BD" w:rsidR="00C05476" w:rsidRPr="003F0DBC" w:rsidRDefault="00294054">
      <w:pPr>
        <w:spacing w:before="60" w:after="80"/>
        <w:ind w:firstLine="720"/>
        <w:jc w:val="both"/>
        <w:rPr>
          <w:lang w:val="en-US"/>
        </w:rPr>
      </w:pPr>
      <w:r w:rsidRPr="003F0DBC">
        <w:rPr>
          <w:lang w:val="en-US"/>
        </w:rPr>
        <w:t xml:space="preserve">Trong tháng </w:t>
      </w:r>
      <w:r w:rsidR="00E301EC" w:rsidRPr="003F0DBC">
        <w:rPr>
          <w:lang w:val="en-US"/>
        </w:rPr>
        <w:t>5</w:t>
      </w:r>
      <w:r w:rsidRPr="003F0DBC">
        <w:rPr>
          <w:lang w:val="en-US"/>
        </w:rPr>
        <w:t xml:space="preserve">, </w:t>
      </w:r>
      <w:r w:rsidR="00E301EC" w:rsidRPr="003F0DBC">
        <w:rPr>
          <w:lang w:val="en-US"/>
        </w:rPr>
        <w:t xml:space="preserve">công tác cải cách TTHC tiếp tục được Chính phủ, Thủ tướng Chính phủ quan tâm </w:t>
      </w:r>
      <w:r w:rsidR="0082296E" w:rsidRPr="003F0DBC">
        <w:rPr>
          <w:lang w:val="en-US"/>
        </w:rPr>
        <w:t>chỉ đạo</w:t>
      </w:r>
      <w:r w:rsidR="002B2FBB" w:rsidRPr="003F0DBC">
        <w:rPr>
          <w:lang w:val="en-US"/>
        </w:rPr>
        <w:t xml:space="preserve">, các bộ, ngành, địa phương đã tích cực, chủ động triển khai các nhiệm vụ được giao </w:t>
      </w:r>
      <w:r w:rsidR="00CA4828" w:rsidRPr="003F0DBC">
        <w:rPr>
          <w:lang w:val="en-US"/>
        </w:rPr>
        <w:t xml:space="preserve">và đã đạt một số kết quả nổi bật, </w:t>
      </w:r>
      <w:r w:rsidR="00DA784D" w:rsidRPr="003F0DBC">
        <w:rPr>
          <w:lang w:val="en-US"/>
        </w:rPr>
        <w:t xml:space="preserve">nhất là trong triển khai thực hiện </w:t>
      </w:r>
      <w:r w:rsidR="00CA4828" w:rsidRPr="003F0DBC">
        <w:rPr>
          <w:lang w:val="en-US"/>
        </w:rPr>
        <w:t>Chương trình cắt giảm, đơn giản hóa TTHC liên quan đến hoạt động sản xuất, kinh doanh năm 2025 và 2026</w:t>
      </w:r>
      <w:r w:rsidR="00DA784D" w:rsidRPr="003F0DBC">
        <w:rPr>
          <w:lang w:val="en-US"/>
        </w:rPr>
        <w:t xml:space="preserve">, </w:t>
      </w:r>
      <w:r w:rsidR="00DA784D" w:rsidRPr="003F0DBC">
        <w:rPr>
          <w:spacing w:val="-2"/>
          <w:lang w:val="en-US"/>
        </w:rPr>
        <w:t>phân định thẩm quyền giải quyết TTHC của chính quyền địa phương 02 cấp để bảo đảm triển khai hiệu quả, không làm gián đoạn việc quản lý, theo dõi, tiếp nhận, giải quyết TTHC khi kết thúc hoạt động của chính quyền địa phương cấp huyện và tổ chức chính quyền địa phương 02 cấp</w:t>
      </w:r>
      <w:r w:rsidR="00CA4828" w:rsidRPr="003F0DBC">
        <w:rPr>
          <w:lang w:val="en-US"/>
        </w:rPr>
        <w:t xml:space="preserve">; chất lượng phục vụ người dân, doanh nghiệp trong thực hiện TTHC, cung cấp </w:t>
      </w:r>
      <w:r w:rsidR="000778A1" w:rsidRPr="003F0DBC">
        <w:rPr>
          <w:lang w:val="en-US"/>
        </w:rPr>
        <w:t xml:space="preserve">dịch vụ công trực tuyến </w:t>
      </w:r>
      <w:r w:rsidR="00CA4828" w:rsidRPr="003F0DBC">
        <w:rPr>
          <w:lang w:val="en-US"/>
        </w:rPr>
        <w:t>được chú trọng</w:t>
      </w:r>
      <w:r w:rsidR="00011C4C" w:rsidRPr="003F0DBC">
        <w:rPr>
          <w:lang w:val="en-US"/>
        </w:rPr>
        <w:t xml:space="preserve"> với nhiều chỉ số tăng so với cùng kỳ năm 2024, </w:t>
      </w:r>
      <w:r w:rsidR="00C870F7" w:rsidRPr="003F0DBC">
        <w:rPr>
          <w:lang w:val="en-US"/>
        </w:rPr>
        <w:t xml:space="preserve">đặc biệt </w:t>
      </w:r>
      <w:r w:rsidR="00011C4C" w:rsidRPr="003F0DBC">
        <w:rPr>
          <w:lang w:val="en-US"/>
        </w:rPr>
        <w:t>là tại các địa phương</w:t>
      </w:r>
      <w:r w:rsidR="00011C4C" w:rsidRPr="003F0DBC">
        <w:rPr>
          <w:rStyle w:val="FootnoteReference"/>
          <w:b/>
          <w:lang w:val="en-US"/>
        </w:rPr>
        <w:footnoteReference w:id="36"/>
      </w:r>
      <w:r w:rsidR="00CA4828" w:rsidRPr="003F0DBC">
        <w:rPr>
          <w:lang w:val="en-US"/>
        </w:rPr>
        <w:t>.</w:t>
      </w:r>
    </w:p>
    <w:p w14:paraId="70EFFB96" w14:textId="77777777" w:rsidR="005A0C04" w:rsidRPr="003F0DBC" w:rsidRDefault="005A0C04" w:rsidP="00C2663D">
      <w:pPr>
        <w:pStyle w:val="FootnoteText"/>
        <w:spacing w:before="60" w:after="80"/>
        <w:ind w:firstLine="720"/>
        <w:jc w:val="both"/>
        <w:rPr>
          <w:sz w:val="28"/>
          <w:szCs w:val="28"/>
          <w:lang w:val="en-US"/>
        </w:rPr>
      </w:pPr>
      <w:r w:rsidRPr="003F0DBC">
        <w:rPr>
          <w:b/>
          <w:sz w:val="28"/>
          <w:szCs w:val="28"/>
        </w:rPr>
        <w:t>2. Tồn tại, hạn chế</w:t>
      </w:r>
    </w:p>
    <w:p w14:paraId="3CFF5F68" w14:textId="77777777" w:rsidR="00B42A48" w:rsidRPr="003F0DBC" w:rsidRDefault="005A0C04" w:rsidP="00C2663D">
      <w:pPr>
        <w:spacing w:before="60" w:after="80"/>
        <w:ind w:firstLine="720"/>
        <w:jc w:val="both"/>
      </w:pPr>
      <w:r w:rsidRPr="003F0DBC">
        <w:t>Bên cạnh những kết quả đạt được, công tác cải cách TTHC</w:t>
      </w:r>
      <w:r w:rsidR="009E4C37" w:rsidRPr="003F0DBC">
        <w:t xml:space="preserve"> </w:t>
      </w:r>
      <w:r w:rsidR="009E4C37" w:rsidRPr="003F0DBC">
        <w:rPr>
          <w:lang w:val="en-US"/>
        </w:rPr>
        <w:t xml:space="preserve">trong tháng </w:t>
      </w:r>
      <w:r w:rsidR="00E301EC" w:rsidRPr="003F0DBC">
        <w:rPr>
          <w:lang w:val="en-US"/>
        </w:rPr>
        <w:t>5</w:t>
      </w:r>
      <w:r w:rsidR="00601A88" w:rsidRPr="003F0DBC">
        <w:rPr>
          <w:lang w:val="en-US"/>
        </w:rPr>
        <w:t xml:space="preserve"> năm</w:t>
      </w:r>
      <w:r w:rsidRPr="003F0DBC">
        <w:t xml:space="preserve"> </w:t>
      </w:r>
      <w:r w:rsidR="00505932" w:rsidRPr="003F0DBC">
        <w:t xml:space="preserve">2025 </w:t>
      </w:r>
      <w:r w:rsidRPr="003F0DBC">
        <w:t xml:space="preserve">vẫn còn một số tồn tại, hạn chế như sau: </w:t>
      </w:r>
    </w:p>
    <w:p w14:paraId="4AFC375D" w14:textId="12F628AA" w:rsidR="00CC717A" w:rsidRPr="003F0DBC" w:rsidRDefault="00B42A48" w:rsidP="00C2663D">
      <w:pPr>
        <w:spacing w:before="60" w:after="80"/>
        <w:ind w:firstLine="720"/>
        <w:jc w:val="both"/>
        <w:rPr>
          <w:spacing w:val="-4"/>
        </w:rPr>
      </w:pPr>
      <w:r w:rsidRPr="003F0DBC">
        <w:rPr>
          <w:spacing w:val="-4"/>
        </w:rPr>
        <w:t xml:space="preserve">(1) </w:t>
      </w:r>
      <w:r w:rsidR="00153118" w:rsidRPr="003F0DBC">
        <w:rPr>
          <w:spacing w:val="-4"/>
        </w:rPr>
        <w:t xml:space="preserve">Kết quả </w:t>
      </w:r>
      <w:r w:rsidR="00570A47" w:rsidRPr="003F0DBC">
        <w:rPr>
          <w:spacing w:val="-4"/>
        </w:rPr>
        <w:t>tổng hợp, thống kê</w:t>
      </w:r>
      <w:r w:rsidR="004F63BE" w:rsidRPr="003F0DBC">
        <w:rPr>
          <w:spacing w:val="-4"/>
        </w:rPr>
        <w:t xml:space="preserve"> TTHC liên quan đến hoạt động sản xuất, kinh doanh</w:t>
      </w:r>
      <w:r w:rsidR="00570A47" w:rsidRPr="003F0DBC">
        <w:rPr>
          <w:spacing w:val="-4"/>
        </w:rPr>
        <w:t xml:space="preserve"> </w:t>
      </w:r>
      <w:r w:rsidR="00153118" w:rsidRPr="003F0DBC">
        <w:rPr>
          <w:spacing w:val="-4"/>
        </w:rPr>
        <w:t xml:space="preserve">tại một số </w:t>
      </w:r>
      <w:r w:rsidR="009A2295" w:rsidRPr="003F0DBC">
        <w:rPr>
          <w:spacing w:val="-4"/>
        </w:rPr>
        <w:t>b</w:t>
      </w:r>
      <w:r w:rsidR="00153118" w:rsidRPr="003F0DBC">
        <w:rPr>
          <w:spacing w:val="-4"/>
        </w:rPr>
        <w:t xml:space="preserve">ộ, ngành </w:t>
      </w:r>
      <w:r w:rsidR="00570A47" w:rsidRPr="003F0DBC">
        <w:rPr>
          <w:spacing w:val="-4"/>
        </w:rPr>
        <w:t>còn chưa đầy đủ, chính xác</w:t>
      </w:r>
      <w:r w:rsidR="00570A47" w:rsidRPr="003F0DBC">
        <w:rPr>
          <w:rStyle w:val="FootnoteReference"/>
          <w:b/>
          <w:spacing w:val="-4"/>
        </w:rPr>
        <w:footnoteReference w:id="37"/>
      </w:r>
      <w:r w:rsidR="00CC717A" w:rsidRPr="003F0DBC">
        <w:rPr>
          <w:spacing w:val="-4"/>
        </w:rPr>
        <w:t>.</w:t>
      </w:r>
    </w:p>
    <w:p w14:paraId="56892AB1" w14:textId="113E2577" w:rsidR="00570A47" w:rsidRPr="003F0DBC" w:rsidRDefault="00CC717A" w:rsidP="00C2663D">
      <w:pPr>
        <w:spacing w:before="60" w:after="80"/>
        <w:ind w:firstLine="720"/>
        <w:jc w:val="both"/>
        <w:rPr>
          <w:spacing w:val="-4"/>
        </w:rPr>
      </w:pPr>
      <w:r w:rsidRPr="003F0DBC">
        <w:rPr>
          <w:spacing w:val="-2"/>
        </w:rPr>
        <w:t xml:space="preserve">(2) </w:t>
      </w:r>
      <w:r w:rsidR="00C45359" w:rsidRPr="003F0DBC">
        <w:rPr>
          <w:spacing w:val="-2"/>
        </w:rPr>
        <w:t xml:space="preserve">Các </w:t>
      </w:r>
      <w:r w:rsidR="00061E66" w:rsidRPr="003F0DBC">
        <w:rPr>
          <w:spacing w:val="-2"/>
        </w:rPr>
        <w:t>phương án phân cấp</w:t>
      </w:r>
      <w:r w:rsidR="00AC6A0B" w:rsidRPr="003F0DBC">
        <w:rPr>
          <w:spacing w:val="-2"/>
        </w:rPr>
        <w:t xml:space="preserve"> TTHC, cắt giảm, đơn giản hóa TTHC liên quan đến Phiếu lý lịch tư pháp</w:t>
      </w:r>
      <w:r w:rsidR="00061E66" w:rsidRPr="003F0DBC">
        <w:rPr>
          <w:spacing w:val="-2"/>
        </w:rPr>
        <w:t xml:space="preserve"> đã được Chính phủ, Thủ tướng Chính phủ phê duyệt </w:t>
      </w:r>
      <w:r w:rsidR="00CA120E" w:rsidRPr="003F0DBC">
        <w:rPr>
          <w:spacing w:val="-2"/>
        </w:rPr>
        <w:t>nhưn</w:t>
      </w:r>
      <w:r w:rsidR="00580E32" w:rsidRPr="003F0DBC">
        <w:rPr>
          <w:spacing w:val="-2"/>
        </w:rPr>
        <w:t>g</w:t>
      </w:r>
      <w:r w:rsidR="00CA120E" w:rsidRPr="003F0DBC">
        <w:rPr>
          <w:spacing w:val="-2"/>
        </w:rPr>
        <w:t xml:space="preserve"> còn </w:t>
      </w:r>
      <w:r w:rsidR="00061E66" w:rsidRPr="003F0DBC">
        <w:rPr>
          <w:spacing w:val="-2"/>
        </w:rPr>
        <w:t>chậm được thực thi</w:t>
      </w:r>
      <w:r w:rsidR="00754A50" w:rsidRPr="003F0DBC">
        <w:rPr>
          <w:rStyle w:val="FootnoteReference"/>
          <w:b/>
          <w:spacing w:val="-2"/>
        </w:rPr>
        <w:footnoteReference w:id="38"/>
      </w:r>
      <w:r w:rsidR="00061E66" w:rsidRPr="003F0DBC">
        <w:rPr>
          <w:spacing w:val="-2"/>
        </w:rPr>
        <w:t>.</w:t>
      </w:r>
    </w:p>
    <w:p w14:paraId="191FB48E" w14:textId="03EB44D3" w:rsidR="00570A47" w:rsidRPr="003F0DBC" w:rsidRDefault="007C5C0A" w:rsidP="00C2663D">
      <w:pPr>
        <w:spacing w:before="60" w:after="80"/>
        <w:ind w:firstLine="720"/>
        <w:jc w:val="both"/>
        <w:rPr>
          <w:spacing w:val="-2"/>
          <w:lang w:val="en-US"/>
        </w:rPr>
      </w:pPr>
      <w:r w:rsidRPr="003F0DBC">
        <w:rPr>
          <w:spacing w:val="-2"/>
        </w:rPr>
        <w:t>(</w:t>
      </w:r>
      <w:r w:rsidR="00B42A48" w:rsidRPr="003F0DBC">
        <w:rPr>
          <w:spacing w:val="-2"/>
        </w:rPr>
        <w:t>3</w:t>
      </w:r>
      <w:r w:rsidRPr="003F0DBC">
        <w:rPr>
          <w:spacing w:val="-2"/>
        </w:rPr>
        <w:t xml:space="preserve">) </w:t>
      </w:r>
      <w:r w:rsidR="005F07C2" w:rsidRPr="003F0DBC">
        <w:rPr>
          <w:spacing w:val="-2"/>
        </w:rPr>
        <w:t>Tỷ lệ khai thác, tái sử dụng kết quả đã được số hóa còn thấp, nhất là đối với các bộ, ngành</w:t>
      </w:r>
      <w:r w:rsidR="004333D0" w:rsidRPr="003F0DBC">
        <w:rPr>
          <w:rStyle w:val="FootnoteReference"/>
          <w:b/>
          <w:spacing w:val="-2"/>
          <w:lang w:val="en-US"/>
        </w:rPr>
        <w:footnoteReference w:id="39"/>
      </w:r>
      <w:r w:rsidR="00CC717A" w:rsidRPr="003F0DBC">
        <w:rPr>
          <w:spacing w:val="-2"/>
        </w:rPr>
        <w:t>.</w:t>
      </w:r>
    </w:p>
    <w:p w14:paraId="78D9F23B" w14:textId="5D552A0A" w:rsidR="00B42A48" w:rsidRPr="003F0DBC" w:rsidRDefault="00B42A48" w:rsidP="00C2663D">
      <w:pPr>
        <w:spacing w:before="60" w:after="80"/>
        <w:ind w:firstLine="720"/>
        <w:jc w:val="both"/>
      </w:pPr>
      <w:r w:rsidRPr="003F0DBC">
        <w:lastRenderedPageBreak/>
        <w:t xml:space="preserve">(4) </w:t>
      </w:r>
      <w:r w:rsidR="007140C7" w:rsidRPr="003F0DBC">
        <w:t>Việc công bố, công khai TTHC tại các bộ</w:t>
      </w:r>
      <w:r w:rsidR="00A55067" w:rsidRPr="003F0DBC">
        <w:t>,</w:t>
      </w:r>
      <w:r w:rsidR="007140C7" w:rsidRPr="003F0DBC">
        <w:t xml:space="preserve"> ngành</w:t>
      </w:r>
      <w:r w:rsidR="00A55067" w:rsidRPr="003F0DBC">
        <w:t xml:space="preserve"> chưa </w:t>
      </w:r>
      <w:r w:rsidR="001121CB" w:rsidRPr="003F0DBC">
        <w:t>kịp thời, đầy đủ</w:t>
      </w:r>
      <w:r w:rsidR="00AA2E63" w:rsidRPr="003F0DBC">
        <w:t>, chính xác</w:t>
      </w:r>
      <w:r w:rsidR="001121CB" w:rsidRPr="003F0DBC">
        <w:t xml:space="preserve"> các thông tin về TTHC trên Cơ sở dữ liệu quốc gia về TTHC</w:t>
      </w:r>
      <w:r w:rsidR="007140C7" w:rsidRPr="003F0DBC">
        <w:rPr>
          <w:rStyle w:val="FootnoteReference"/>
          <w:b/>
        </w:rPr>
        <w:footnoteReference w:id="40"/>
      </w:r>
      <w:r w:rsidR="007140C7" w:rsidRPr="003F0DBC">
        <w:t xml:space="preserve">. </w:t>
      </w:r>
      <w:r w:rsidR="00A5727A" w:rsidRPr="003F0DBC">
        <w:t xml:space="preserve">Một </w:t>
      </w:r>
      <w:r w:rsidRPr="003F0DBC">
        <w:t>số hệ thống thông tin giải quyết TTHC chưa kịp thời nâng cấp, điều chỉnh sau khi sắp xếp bộ máy</w:t>
      </w:r>
      <w:r w:rsidRPr="003F0DBC">
        <w:rPr>
          <w:rStyle w:val="FootnoteReference"/>
          <w:b/>
        </w:rPr>
        <w:footnoteReference w:id="41"/>
      </w:r>
      <w:r w:rsidRPr="003F0DBC">
        <w:t xml:space="preserve">. </w:t>
      </w:r>
    </w:p>
    <w:p w14:paraId="6AC9E66A" w14:textId="461C9A93" w:rsidR="000C1F78" w:rsidRPr="003F0DBC" w:rsidRDefault="000C1F78" w:rsidP="00C2663D">
      <w:pPr>
        <w:spacing w:before="60" w:after="80"/>
        <w:ind w:firstLine="720"/>
        <w:jc w:val="both"/>
        <w:rPr>
          <w:rStyle w:val="dieuCharChar"/>
          <w:color w:val="auto"/>
          <w:sz w:val="28"/>
          <w:szCs w:val="28"/>
        </w:rPr>
      </w:pPr>
      <w:r w:rsidRPr="003F0DBC">
        <w:rPr>
          <w:rStyle w:val="dieuCharChar"/>
          <w:color w:val="auto"/>
          <w:sz w:val="28"/>
          <w:szCs w:val="28"/>
        </w:rPr>
        <w:t xml:space="preserve">III. NHIỆM VỤ TRỌNG TÂM </w:t>
      </w:r>
      <w:r w:rsidR="006B0965" w:rsidRPr="003F0DBC">
        <w:rPr>
          <w:rStyle w:val="dieuCharChar"/>
          <w:color w:val="auto"/>
          <w:sz w:val="28"/>
          <w:szCs w:val="28"/>
        </w:rPr>
        <w:t xml:space="preserve">TRONG </w:t>
      </w:r>
      <w:r w:rsidR="00B468A5" w:rsidRPr="003F0DBC">
        <w:rPr>
          <w:rStyle w:val="dieuCharChar"/>
          <w:color w:val="auto"/>
          <w:sz w:val="28"/>
          <w:szCs w:val="28"/>
        </w:rPr>
        <w:t xml:space="preserve">THÁNG </w:t>
      </w:r>
      <w:r w:rsidR="00E301EC" w:rsidRPr="003F0DBC">
        <w:rPr>
          <w:rStyle w:val="dieuCharChar"/>
          <w:color w:val="auto"/>
          <w:sz w:val="28"/>
          <w:szCs w:val="28"/>
        </w:rPr>
        <w:t>6</w:t>
      </w:r>
      <w:r w:rsidR="00B468A5" w:rsidRPr="003F0DBC">
        <w:rPr>
          <w:rStyle w:val="dieuCharChar"/>
          <w:color w:val="auto"/>
          <w:sz w:val="28"/>
          <w:szCs w:val="28"/>
        </w:rPr>
        <w:t xml:space="preserve"> NĂM 2025</w:t>
      </w:r>
    </w:p>
    <w:p w14:paraId="5E995A88" w14:textId="5CD61F09" w:rsidR="001205A4" w:rsidRPr="003F0DBC" w:rsidRDefault="001205A4" w:rsidP="00C2663D">
      <w:pPr>
        <w:spacing w:before="60" w:after="80"/>
        <w:ind w:firstLine="720"/>
        <w:jc w:val="both"/>
      </w:pPr>
      <w:r w:rsidRPr="003F0DBC">
        <w:t xml:space="preserve">Để tiếp tục triển khai có hiệu quả công tác cải cách TTHC, đề nghị các bộ, ngành, địa phương </w:t>
      </w:r>
      <w:r w:rsidRPr="003F0DBC">
        <w:rPr>
          <w:bCs/>
          <w:noProof/>
        </w:rPr>
        <w:t xml:space="preserve">quán triệt, thực hiện nghiêm túc, đầy đủ, kịp thời các quy định, chỉ đạo của </w:t>
      </w:r>
      <w:r w:rsidRPr="003F0DBC">
        <w:t xml:space="preserve">Chính phủ, Thủ tướng Chính phủ, trong đó tập trung triển khai có hiệu quả các nhiệm vụ trọng tâm sau đây:  </w:t>
      </w:r>
    </w:p>
    <w:p w14:paraId="4D8C4D44" w14:textId="77777777" w:rsidR="0035730B" w:rsidRPr="003F0DBC" w:rsidRDefault="00FC186C" w:rsidP="00C2663D">
      <w:pPr>
        <w:spacing w:before="60" w:after="80"/>
        <w:ind w:firstLine="720"/>
        <w:jc w:val="both"/>
      </w:pPr>
      <w:r w:rsidRPr="003F0DBC">
        <w:rPr>
          <w:b/>
        </w:rPr>
        <w:t>1.</w:t>
      </w:r>
      <w:r w:rsidRPr="003F0DBC">
        <w:t xml:space="preserve"> </w:t>
      </w:r>
      <w:bookmarkStart w:id="14" w:name="_Hlk187215328"/>
      <w:r w:rsidR="000D50B0" w:rsidRPr="003F0DBC">
        <w:t>Tiếp tục thực hiện có hiệu quả Chương trình cắt giảm, đơn giản hóa TTHC liên quan đến hoạt động sản xuất, kinh doanh năm 2025 và 2026, trong đó</w:t>
      </w:r>
      <w:r w:rsidR="006668E4" w:rsidRPr="003F0DBC">
        <w:t>:</w:t>
      </w:r>
    </w:p>
    <w:p w14:paraId="0F0D682C" w14:textId="7C58DD64" w:rsidR="008903C2" w:rsidRPr="003F0DBC" w:rsidRDefault="006668E4" w:rsidP="00C2663D">
      <w:pPr>
        <w:spacing w:before="60" w:after="80"/>
        <w:ind w:firstLine="720"/>
        <w:jc w:val="both"/>
        <w:rPr>
          <w:bCs/>
        </w:rPr>
      </w:pPr>
      <w:r w:rsidRPr="003F0DBC">
        <w:t xml:space="preserve">a) </w:t>
      </w:r>
      <w:r w:rsidR="00F5669D" w:rsidRPr="003F0DBC">
        <w:t xml:space="preserve">Trên cơ sở ý kiến của Văn phòng Chính phủ, tập </w:t>
      </w:r>
      <w:r w:rsidR="0072500B" w:rsidRPr="003F0DBC">
        <w:t>trung hoàn thành việc tổng hợp, thống kê bổ sung</w:t>
      </w:r>
      <w:r w:rsidR="00B96326" w:rsidRPr="003F0DBC">
        <w:t xml:space="preserve"> TTHC liên quan đến hoạt động sản xuất kinh doanh</w:t>
      </w:r>
      <w:r w:rsidR="0072500B" w:rsidRPr="003F0DBC">
        <w:t>; cập nhật, công khai kết quả tổng hợp, thống kê TTHC, điều kiện kinh doanh, chi phí tuân thủ TTHC thuộc phạm vi quản lý trên Cơ sở dữ liệu quốc gia về TTHC</w:t>
      </w:r>
      <w:r w:rsidR="004446E9" w:rsidRPr="003F0DBC">
        <w:rPr>
          <w:bCs/>
        </w:rPr>
        <w:t xml:space="preserve">. </w:t>
      </w:r>
    </w:p>
    <w:p w14:paraId="54604BE8" w14:textId="205BD1AB" w:rsidR="005056C7" w:rsidRPr="003F0DBC" w:rsidRDefault="006668E4" w:rsidP="00C2663D">
      <w:pPr>
        <w:spacing w:before="60" w:after="80"/>
        <w:ind w:firstLine="720"/>
        <w:jc w:val="both"/>
      </w:pPr>
      <w:r w:rsidRPr="003F0DBC">
        <w:rPr>
          <w:bCs/>
        </w:rPr>
        <w:t>b)</w:t>
      </w:r>
      <w:r w:rsidR="005056C7" w:rsidRPr="003F0DBC">
        <w:rPr>
          <w:bCs/>
        </w:rPr>
        <w:t xml:space="preserve"> Ti</w:t>
      </w:r>
      <w:r w:rsidR="005056C7" w:rsidRPr="003F0DBC">
        <w:rPr>
          <w:bCs/>
          <w:lang w:val="vi-VN"/>
        </w:rPr>
        <w:t xml:space="preserve">ếp tục rà soát, xây dựng phương án cắt giảm, đơn giản hoá </w:t>
      </w:r>
      <w:r w:rsidR="005056C7" w:rsidRPr="003F0DBC">
        <w:rPr>
          <w:bCs/>
          <w:lang w:val="en-US"/>
        </w:rPr>
        <w:t>TTHC</w:t>
      </w:r>
      <w:r w:rsidR="005056C7" w:rsidRPr="003F0DBC">
        <w:rPr>
          <w:bCs/>
          <w:lang w:val="vi-VN"/>
        </w:rPr>
        <w:t xml:space="preserve"> nội bộ giữa các cơ quan hành chính nhà nước</w:t>
      </w:r>
      <w:r w:rsidR="005056C7" w:rsidRPr="003F0DBC">
        <w:rPr>
          <w:bCs/>
        </w:rPr>
        <w:t>,</w:t>
      </w:r>
      <w:r w:rsidR="005056C7" w:rsidRPr="003F0DBC">
        <w:rPr>
          <w:bCs/>
          <w:lang w:val="vi-VN"/>
        </w:rPr>
        <w:t xml:space="preserve"> xây dựng phương án cắt giảm, đơn giản hoá</w:t>
      </w:r>
      <w:r w:rsidR="005056C7" w:rsidRPr="003F0DBC">
        <w:rPr>
          <w:bCs/>
        </w:rPr>
        <w:t>,</w:t>
      </w:r>
      <w:r w:rsidR="005056C7" w:rsidRPr="003F0DBC">
        <w:rPr>
          <w:bCs/>
          <w:lang w:val="vi-VN"/>
        </w:rPr>
        <w:t xml:space="preserve"> tái cấu trúc quy trình các </w:t>
      </w:r>
      <w:r w:rsidR="005056C7" w:rsidRPr="003F0DBC">
        <w:rPr>
          <w:bCs/>
          <w:lang w:val="en-US"/>
        </w:rPr>
        <w:t>TTHC</w:t>
      </w:r>
      <w:r w:rsidR="005056C7" w:rsidRPr="003F0DBC">
        <w:rPr>
          <w:bCs/>
          <w:lang w:val="vi-VN"/>
        </w:rPr>
        <w:t xml:space="preserve"> nội bộ trong từng </w:t>
      </w:r>
      <w:r w:rsidR="005056C7" w:rsidRPr="003F0DBC">
        <w:rPr>
          <w:bCs/>
        </w:rPr>
        <w:t>bộ, địa phương</w:t>
      </w:r>
      <w:r w:rsidR="005056C7" w:rsidRPr="003F0DBC">
        <w:rPr>
          <w:bCs/>
          <w:lang w:val="vi-VN"/>
        </w:rPr>
        <w:t xml:space="preserve"> để thực hiện quản trị nội bộ trên môi trường điện tử</w:t>
      </w:r>
      <w:r w:rsidR="005056C7" w:rsidRPr="003F0DBC">
        <w:rPr>
          <w:bCs/>
        </w:rPr>
        <w:t>; trình cấp có thẩm quyền phê duyệt phương án năm 2025.</w:t>
      </w:r>
    </w:p>
    <w:p w14:paraId="2AC480E5" w14:textId="7B5EAF39" w:rsidR="00D25F0B" w:rsidRPr="003F0DBC" w:rsidRDefault="006668E4" w:rsidP="00C2663D">
      <w:pPr>
        <w:spacing w:before="60" w:after="80"/>
        <w:ind w:firstLine="720"/>
        <w:jc w:val="both"/>
      </w:pPr>
      <w:r w:rsidRPr="003F0DBC">
        <w:t>c)</w:t>
      </w:r>
      <w:r w:rsidR="002E2E82" w:rsidRPr="003F0DBC">
        <w:t xml:space="preserve"> </w:t>
      </w:r>
      <w:r w:rsidR="006272C5" w:rsidRPr="003F0DBC">
        <w:t xml:space="preserve">Các bộ, cơ quan tiếp tục thực thi các phương án phân cấp đã được phê duyệt; đồng thời, rà soát, báo cáo Thủ tướng Chính phủ điều chỉnh </w:t>
      </w:r>
      <w:r w:rsidR="00084FFD" w:rsidRPr="003F0DBC">
        <w:t xml:space="preserve">phương án phân cấp </w:t>
      </w:r>
      <w:r w:rsidR="006272C5" w:rsidRPr="003F0DBC">
        <w:t xml:space="preserve">hoặc đưa vào dự thảo các </w:t>
      </w:r>
      <w:r w:rsidR="00084FFD">
        <w:t>n</w:t>
      </w:r>
      <w:r w:rsidR="006272C5" w:rsidRPr="003F0DBC">
        <w:t xml:space="preserve">ghị định </w:t>
      </w:r>
      <w:r w:rsidR="00084FFD">
        <w:t xml:space="preserve">về </w:t>
      </w:r>
      <w:r w:rsidR="006272C5" w:rsidRPr="003F0DBC">
        <w:t>phân cấp, phân quyền</w:t>
      </w:r>
      <w:r w:rsidR="00084FFD">
        <w:t>,</w:t>
      </w:r>
      <w:r w:rsidR="006272C5" w:rsidRPr="003F0DBC">
        <w:t xml:space="preserve"> phân định thẩm quyền </w:t>
      </w:r>
      <w:r w:rsidR="00084FFD">
        <w:t>để</w:t>
      </w:r>
      <w:r w:rsidR="006272C5" w:rsidRPr="003F0DBC">
        <w:t xml:space="preserve"> phù hợp với quy định mới của pháp luật về phân cấp, phân quyền, ủy quyền </w:t>
      </w:r>
      <w:r w:rsidR="00084FFD">
        <w:t>và</w:t>
      </w:r>
      <w:r w:rsidR="006272C5" w:rsidRPr="003F0DBC">
        <w:t xml:space="preserve"> </w:t>
      </w:r>
      <w:r w:rsidR="00084FFD">
        <w:t xml:space="preserve">mô hình </w:t>
      </w:r>
      <w:r w:rsidR="006272C5" w:rsidRPr="003F0DBC">
        <w:t xml:space="preserve">tổ chức chính quyền địa phương </w:t>
      </w:r>
      <w:r w:rsidR="00084FFD">
        <w:t>2 cấp</w:t>
      </w:r>
      <w:r w:rsidR="006272C5" w:rsidRPr="003F0DBC">
        <w:t>.</w:t>
      </w:r>
    </w:p>
    <w:p w14:paraId="29448FA1" w14:textId="1A2648DD" w:rsidR="00D655B1" w:rsidRPr="003F0DBC" w:rsidRDefault="00D25F0B" w:rsidP="00C2663D">
      <w:pPr>
        <w:spacing w:before="60" w:after="80"/>
        <w:ind w:firstLine="720"/>
        <w:jc w:val="both"/>
      </w:pPr>
      <w:r w:rsidRPr="003F0DBC">
        <w:rPr>
          <w:b/>
        </w:rPr>
        <w:t>2.</w:t>
      </w:r>
      <w:r w:rsidRPr="003F0DBC">
        <w:t xml:space="preserve"> R</w:t>
      </w:r>
      <w:r w:rsidR="00B75F99" w:rsidRPr="003F0DBC">
        <w:t xml:space="preserve">à soát và xây dựng </w:t>
      </w:r>
      <w:r w:rsidR="00554E3F" w:rsidRPr="003F0DBC">
        <w:t>VB</w:t>
      </w:r>
      <w:r w:rsidR="00FE7D39" w:rsidRPr="003F0DBC">
        <w:t>QPPL</w:t>
      </w:r>
      <w:r w:rsidR="00B75F99" w:rsidRPr="003F0DBC">
        <w:t xml:space="preserve"> để thực thi phương án cắt giảm, phân định thẩm quyền giải quyết đối với TTHC thuộc thẩm quyền giải quyết của chính quyền cấp huyện theo </w:t>
      </w:r>
      <w:r w:rsidR="0072500B" w:rsidRPr="003F0DBC">
        <w:t xml:space="preserve">đúng chỉ đạo của Thủ tướng Chính phủ tại văn bản </w:t>
      </w:r>
      <w:r w:rsidR="00084FFD">
        <w:br/>
      </w:r>
      <w:r w:rsidR="0072500B" w:rsidRPr="003F0DBC">
        <w:t>số 500/TTg-KSTT ngày 04 tháng 5 năm 2025.</w:t>
      </w:r>
    </w:p>
    <w:p w14:paraId="1D059E53" w14:textId="676EE8FB" w:rsidR="00606714" w:rsidRPr="003F0DBC" w:rsidRDefault="00606714" w:rsidP="00C2663D">
      <w:pPr>
        <w:spacing w:before="60" w:after="80"/>
        <w:ind w:firstLine="720"/>
        <w:jc w:val="both"/>
      </w:pPr>
      <w:r w:rsidRPr="003F0DBC">
        <w:rPr>
          <w:b/>
        </w:rPr>
        <w:t>3.</w:t>
      </w:r>
      <w:r w:rsidRPr="003F0DBC">
        <w:t xml:space="preserve"> Đẩy nhanh việc triển khai thí điểm mô hình Trung tâm phục vụ hành chính công một cấp trực thuộc UBND cấp tỉnh tại 05 địa phương, bảo đảm tổ chức hiệu quả, khoa học, tạo thuận lợi cho người dân, doanh nghiệp tiếp cận và thực hiện TTHC không phụ thuộc địa giới hành chính.</w:t>
      </w:r>
    </w:p>
    <w:p w14:paraId="3F2B8489" w14:textId="29B9973B" w:rsidR="005451DB" w:rsidRPr="003F0DBC" w:rsidRDefault="00606714" w:rsidP="00C2663D">
      <w:pPr>
        <w:spacing w:before="60" w:after="80"/>
        <w:ind w:firstLine="720"/>
        <w:jc w:val="both"/>
      </w:pPr>
      <w:r w:rsidRPr="003F0DBC">
        <w:rPr>
          <w:b/>
        </w:rPr>
        <w:t>4</w:t>
      </w:r>
      <w:r w:rsidR="00FB09BC" w:rsidRPr="003F0DBC">
        <w:rPr>
          <w:b/>
        </w:rPr>
        <w:t>.</w:t>
      </w:r>
      <w:r w:rsidR="00FB09BC" w:rsidRPr="003F0DBC">
        <w:t xml:space="preserve"> </w:t>
      </w:r>
      <w:r w:rsidR="005A0C04" w:rsidRPr="003F0DBC">
        <w:t xml:space="preserve">Tiếp tục </w:t>
      </w:r>
      <w:r w:rsidR="00884486" w:rsidRPr="003F0DBC">
        <w:rPr>
          <w:bCs/>
          <w:noProof/>
        </w:rPr>
        <w:t>c</w:t>
      </w:r>
      <w:r w:rsidR="00884486" w:rsidRPr="003F0DBC">
        <w:t xml:space="preserve">ông bố, công khai </w:t>
      </w:r>
      <w:r w:rsidR="00396755" w:rsidRPr="003F0DBC">
        <w:t xml:space="preserve">kịp thời, </w:t>
      </w:r>
      <w:r w:rsidR="00884486" w:rsidRPr="003F0DBC">
        <w:t>đầy đủ, chính xác thông tin về TTHC trên Cơ sở dữ liệu quốc gia về TTH</w:t>
      </w:r>
      <w:r w:rsidR="00453E0C" w:rsidRPr="003F0DBC">
        <w:t>C</w:t>
      </w:r>
      <w:r w:rsidR="00884486" w:rsidRPr="003F0DBC">
        <w:t>.</w:t>
      </w:r>
      <w:bookmarkEnd w:id="14"/>
    </w:p>
    <w:p w14:paraId="5FCB1B7E" w14:textId="1A546C66" w:rsidR="00CF5E93" w:rsidRPr="003F0DBC" w:rsidRDefault="00606714" w:rsidP="00C2663D">
      <w:pPr>
        <w:shd w:val="clear" w:color="auto" w:fill="FFFFFF"/>
        <w:spacing w:before="60" w:after="80"/>
        <w:ind w:firstLine="720"/>
        <w:jc w:val="both"/>
      </w:pPr>
      <w:r w:rsidRPr="003F0DBC">
        <w:rPr>
          <w:b/>
          <w:noProof/>
        </w:rPr>
        <w:t>5</w:t>
      </w:r>
      <w:r w:rsidR="00F70E6F" w:rsidRPr="003F0DBC">
        <w:rPr>
          <w:b/>
          <w:noProof/>
        </w:rPr>
        <w:t>.</w:t>
      </w:r>
      <w:r w:rsidR="002E6BF9" w:rsidRPr="003F0DBC">
        <w:rPr>
          <w:noProof/>
        </w:rPr>
        <w:t xml:space="preserve"> </w:t>
      </w:r>
      <w:r w:rsidR="00902388" w:rsidRPr="003F0DBC">
        <w:rPr>
          <w:lang w:val="en-US"/>
        </w:rPr>
        <w:t xml:space="preserve">Tiếp tục </w:t>
      </w:r>
      <w:r w:rsidR="00850CB1" w:rsidRPr="003F0DBC">
        <w:rPr>
          <w:lang w:val="en-US"/>
        </w:rPr>
        <w:t xml:space="preserve">làm tốt công tác tiếp nhận và xử lý PAKN của cá nhân, tổ chức </w:t>
      </w:r>
      <w:r w:rsidR="005A0C04" w:rsidRPr="003F0DBC">
        <w:rPr>
          <w:lang w:val="en-US"/>
        </w:rPr>
        <w:t xml:space="preserve">về những </w:t>
      </w:r>
      <w:r w:rsidR="005A0C04" w:rsidRPr="003F0DBC">
        <w:t>khó khăn, vướng mắc trong thực hiện quy định, TTHC</w:t>
      </w:r>
      <w:r w:rsidR="00884486" w:rsidRPr="003F0DBC">
        <w:t>, bảo đảm chất lượng, hiệu quả. Đặc biệt</w:t>
      </w:r>
      <w:r w:rsidR="005A0C04" w:rsidRPr="003F0DBC">
        <w:t>, khẩn trương xem xét, trả lời dứt điểm những PAKN còn tồn tại, đã quá hạn xử lý.</w:t>
      </w:r>
    </w:p>
    <w:p w14:paraId="63C01CB8" w14:textId="301486F1" w:rsidR="00CF5E93" w:rsidRPr="003F0DBC" w:rsidRDefault="00606714" w:rsidP="00C2663D">
      <w:pPr>
        <w:shd w:val="clear" w:color="auto" w:fill="FFFFFF"/>
        <w:spacing w:before="60" w:after="80"/>
        <w:ind w:firstLine="720"/>
        <w:jc w:val="both"/>
        <w:rPr>
          <w:rStyle w:val="dieuCharChar"/>
          <w:b w:val="0"/>
          <w:color w:val="auto"/>
          <w:sz w:val="28"/>
          <w:szCs w:val="28"/>
        </w:rPr>
      </w:pPr>
      <w:r w:rsidRPr="00313034">
        <w:rPr>
          <w:b/>
          <w:lang w:val="en-US"/>
        </w:rPr>
        <w:lastRenderedPageBreak/>
        <w:t>6</w:t>
      </w:r>
      <w:r w:rsidR="00B34428" w:rsidRPr="003F0DBC">
        <w:rPr>
          <w:b/>
          <w:lang w:val="en-US"/>
        </w:rPr>
        <w:t>.</w:t>
      </w:r>
      <w:r w:rsidR="00B34428" w:rsidRPr="003F0DBC">
        <w:rPr>
          <w:lang w:val="en-US"/>
        </w:rPr>
        <w:t xml:space="preserve"> </w:t>
      </w:r>
      <w:r w:rsidR="00CF2201" w:rsidRPr="003F0DBC">
        <w:rPr>
          <w:lang w:val="en-US"/>
        </w:rPr>
        <w:t>Tích cực đẩy mạnh công tác truyền thông về công tác cải cách TTHC tạo sự đồng thuận trong xã hội để người dân, cộng đồng doanh nghiệp biết và đồng hành cùng Chính phủ.</w:t>
      </w:r>
    </w:p>
    <w:p w14:paraId="22454464" w14:textId="1E52A63C" w:rsidR="00BC232C" w:rsidRPr="003F0DBC" w:rsidRDefault="000C1F78" w:rsidP="00C2663D">
      <w:pPr>
        <w:shd w:val="clear" w:color="auto" w:fill="FFFFFF"/>
        <w:spacing w:before="60" w:after="80"/>
        <w:ind w:firstLine="720"/>
        <w:jc w:val="both"/>
      </w:pPr>
      <w:r w:rsidRPr="003F0DBC">
        <w:rPr>
          <w:rStyle w:val="dieuCharChar"/>
          <w:color w:val="auto"/>
          <w:sz w:val="28"/>
          <w:szCs w:val="28"/>
        </w:rPr>
        <w:t>IV. KIẾN NGHỊ VÀ ĐỀ XUẤT</w:t>
      </w:r>
    </w:p>
    <w:p w14:paraId="2523E8A4" w14:textId="0D226B27" w:rsidR="00034886" w:rsidRPr="003F0DBC" w:rsidRDefault="00B219E5" w:rsidP="00C2663D">
      <w:pPr>
        <w:pBdr>
          <w:top w:val="dotted" w:sz="4" w:space="0" w:color="FFFFFF"/>
          <w:left w:val="dotted" w:sz="4" w:space="0" w:color="FFFFFF"/>
          <w:bottom w:val="dotted" w:sz="4" w:space="10" w:color="FFFFFF"/>
          <w:right w:val="dotted" w:sz="4" w:space="2" w:color="FFFFFF"/>
        </w:pBdr>
        <w:shd w:val="clear" w:color="auto" w:fill="FFFFFF"/>
        <w:tabs>
          <w:tab w:val="left" w:pos="720"/>
        </w:tabs>
        <w:spacing w:before="60" w:after="80"/>
        <w:ind w:firstLine="720"/>
        <w:jc w:val="both"/>
        <w:rPr>
          <w:spacing w:val="-2"/>
        </w:rPr>
      </w:pPr>
      <w:r w:rsidRPr="003F0DBC">
        <w:t xml:space="preserve">Để </w:t>
      </w:r>
      <w:r w:rsidR="00181817" w:rsidRPr="003F0DBC">
        <w:t xml:space="preserve">nâng cao hơn nữa </w:t>
      </w:r>
      <w:r w:rsidRPr="003F0DBC">
        <w:t>công tác cải cách TTHC trong thời gian tới</w:t>
      </w:r>
      <w:r w:rsidR="00116FB8" w:rsidRPr="003F0DBC">
        <w:t xml:space="preserve">, </w:t>
      </w:r>
      <w:r w:rsidR="00C3043D" w:rsidRPr="003F0DBC">
        <w:br/>
      </w:r>
      <w:r w:rsidR="001910F1" w:rsidRPr="003F0DBC">
        <w:t>Văn phòng Chính phủ kiến nghị</w:t>
      </w:r>
      <w:r w:rsidR="004304E1" w:rsidRPr="003F0DBC">
        <w:rPr>
          <w:spacing w:val="-2"/>
          <w:shd w:val="clear" w:color="auto" w:fill="FFFFFF"/>
        </w:rPr>
        <w:t>:</w:t>
      </w:r>
    </w:p>
    <w:p w14:paraId="3E266279" w14:textId="32910DA8" w:rsidR="00326D21" w:rsidRPr="003F0DBC" w:rsidRDefault="007D2267" w:rsidP="00C2663D">
      <w:pPr>
        <w:pBdr>
          <w:top w:val="dotted" w:sz="4" w:space="0" w:color="FFFFFF"/>
          <w:left w:val="dotted" w:sz="4" w:space="0" w:color="FFFFFF"/>
          <w:bottom w:val="dotted" w:sz="4" w:space="10" w:color="FFFFFF"/>
          <w:right w:val="dotted" w:sz="4" w:space="2" w:color="FFFFFF"/>
        </w:pBdr>
        <w:shd w:val="clear" w:color="auto" w:fill="FFFFFF"/>
        <w:tabs>
          <w:tab w:val="left" w:pos="720"/>
        </w:tabs>
        <w:spacing w:before="60" w:after="80"/>
        <w:ind w:firstLine="567"/>
        <w:jc w:val="both"/>
      </w:pPr>
      <w:r w:rsidRPr="003F0DBC">
        <w:rPr>
          <w:b/>
          <w:spacing w:val="-2"/>
          <w:shd w:val="clear" w:color="auto" w:fill="FFFFFF"/>
        </w:rPr>
        <w:t>1.</w:t>
      </w:r>
      <w:r w:rsidRPr="003F0DBC">
        <w:rPr>
          <w:spacing w:val="-2"/>
          <w:shd w:val="clear" w:color="auto" w:fill="FFFFFF"/>
        </w:rPr>
        <w:t xml:space="preserve"> </w:t>
      </w:r>
      <w:r w:rsidRPr="003F0DBC">
        <w:rPr>
          <w:spacing w:val="-2"/>
        </w:rPr>
        <w:t>Chính phủ, Thủ tướng Chính phủ chỉ đạo các bộ, cơ quan ngang bộ, cơ quan thuộc Chính phủ, Ủy ban nhân dân các tỉnh, thành phố trực thuộc Trung ương</w:t>
      </w:r>
      <w:r w:rsidR="00326D21" w:rsidRPr="003F0DBC">
        <w:rPr>
          <w:spacing w:val="-2"/>
        </w:rPr>
        <w:t xml:space="preserve"> </w:t>
      </w:r>
      <w:r w:rsidR="00A76475" w:rsidRPr="003F0DBC">
        <w:t>k</w:t>
      </w:r>
      <w:r w:rsidR="00D71124" w:rsidRPr="003F0DBC">
        <w:t>hắc phục những tồn tại, hạn chế nêu tại Mục II</w:t>
      </w:r>
      <w:r w:rsidR="00586E09" w:rsidRPr="003F0DBC">
        <w:t>;</w:t>
      </w:r>
      <w:r w:rsidR="00D71124" w:rsidRPr="003F0DBC">
        <w:t xml:space="preserve"> </w:t>
      </w:r>
      <w:r w:rsidR="0041306C" w:rsidRPr="003F0DBC">
        <w:t>triển khai kịp thời, đầy đủ, hiệu quả các nhiệm vụ t</w:t>
      </w:r>
      <w:r w:rsidR="00034886" w:rsidRPr="003F0DBC">
        <w:t>r</w:t>
      </w:r>
      <w:r w:rsidR="0041306C" w:rsidRPr="003F0DBC">
        <w:t>ọng tâm nêu tại Mục III</w:t>
      </w:r>
      <w:r w:rsidR="00326D21" w:rsidRPr="003F0DBC">
        <w:t xml:space="preserve"> của Báo cáo này</w:t>
      </w:r>
      <w:r w:rsidR="00784A0C" w:rsidRPr="003F0DBC">
        <w:t>.</w:t>
      </w:r>
    </w:p>
    <w:p w14:paraId="7B8B1480" w14:textId="719DE041" w:rsidR="00E7200B" w:rsidRPr="003F0DBC" w:rsidRDefault="00326D21" w:rsidP="00C2663D">
      <w:pPr>
        <w:pBdr>
          <w:top w:val="dotted" w:sz="4" w:space="0" w:color="FFFFFF"/>
          <w:left w:val="dotted" w:sz="4" w:space="0" w:color="FFFFFF"/>
          <w:bottom w:val="dotted" w:sz="4" w:space="10" w:color="FFFFFF"/>
          <w:right w:val="dotted" w:sz="4" w:space="2" w:color="FFFFFF"/>
        </w:pBdr>
        <w:shd w:val="clear" w:color="auto" w:fill="FFFFFF"/>
        <w:tabs>
          <w:tab w:val="left" w:pos="720"/>
        </w:tabs>
        <w:spacing w:before="60" w:after="80"/>
        <w:ind w:firstLine="567"/>
        <w:jc w:val="both"/>
      </w:pPr>
      <w:r w:rsidRPr="003F0DBC">
        <w:rPr>
          <w:b/>
        </w:rPr>
        <w:t>2.</w:t>
      </w:r>
      <w:r w:rsidRPr="003F0DBC">
        <w:t xml:space="preserve"> Các bộ, cơ quan có liên quan</w:t>
      </w:r>
      <w:r w:rsidR="00586E09" w:rsidRPr="003F0DBC">
        <w:t xml:space="preserve"> khẩn trương xem xét, trả lời đề xuất, kiến nghị của các bộ, ngành, địa phương theo thẩm quyền nêu tại Phụ lục VIII </w:t>
      </w:r>
      <w:r w:rsidR="00CB4D7B" w:rsidRPr="003F0DBC">
        <w:t xml:space="preserve">kèm theo </w:t>
      </w:r>
      <w:r w:rsidR="00586E09" w:rsidRPr="003F0DBC">
        <w:t>Báo cáo này và các Báo cáo tình hình, kết quả cải cách TTHC hằng tháng do Văn phòng Chính phủ tổng hợp.</w:t>
      </w:r>
      <w:r w:rsidR="00C3043D" w:rsidRPr="003F0DBC">
        <w:t xml:space="preserve"> </w:t>
      </w:r>
    </w:p>
    <w:p w14:paraId="50B112BA" w14:textId="170EA5D6" w:rsidR="00B304FC" w:rsidRPr="003F0DBC" w:rsidRDefault="00B304FC" w:rsidP="00C2663D">
      <w:pPr>
        <w:pBdr>
          <w:top w:val="dotted" w:sz="4" w:space="0" w:color="FFFFFF"/>
          <w:left w:val="dotted" w:sz="4" w:space="0" w:color="FFFFFF"/>
          <w:bottom w:val="dotted" w:sz="4" w:space="10" w:color="FFFFFF"/>
          <w:right w:val="dotted" w:sz="4" w:space="2" w:color="FFFFFF"/>
        </w:pBdr>
        <w:shd w:val="clear" w:color="auto" w:fill="FFFFFF"/>
        <w:tabs>
          <w:tab w:val="left" w:pos="720"/>
        </w:tabs>
        <w:spacing w:before="60" w:after="80"/>
        <w:ind w:firstLine="567"/>
        <w:jc w:val="both"/>
        <w:rPr>
          <w:rStyle w:val="Strong"/>
          <w:shd w:val="clear" w:color="auto" w:fill="FFFFFF"/>
        </w:rPr>
      </w:pPr>
      <w:r w:rsidRPr="00313034">
        <w:rPr>
          <w:b/>
          <w:spacing w:val="-2"/>
        </w:rPr>
        <w:t xml:space="preserve">3. </w:t>
      </w:r>
      <w:r w:rsidR="00511C0A" w:rsidRPr="003F0DBC">
        <w:rPr>
          <w:shd w:val="clear" w:color="auto" w:fill="FFFFFF"/>
        </w:rPr>
        <w:t xml:space="preserve">Các Bộ, cơ quan ngang </w:t>
      </w:r>
      <w:r w:rsidR="00784A0C" w:rsidRPr="003F0DBC">
        <w:rPr>
          <w:shd w:val="clear" w:color="auto" w:fill="FFFFFF"/>
        </w:rPr>
        <w:t>b</w:t>
      </w:r>
      <w:r w:rsidR="00511C0A" w:rsidRPr="003F0DBC">
        <w:rPr>
          <w:shd w:val="clear" w:color="auto" w:fill="FFFFFF"/>
        </w:rPr>
        <w:t>ộ khẩn trương hoàn thành rà soát, phân định thẩm quyền giải quyết TTHC liên quan đến việc kết thúc hoạt động của chính quyền địa phương cấp huyện; kịp thời công bố, công khai TTHC ngay sau khi sửa đổi quy định để làm cơ sở cho các địa phương công bố danh mục TTHC áp dụng trên địa bàn tỉnh, thành phố, bảo đảm thực hiện tiếp nhận, giải quyết TTHC cho người dân, doanh nghiệp không bị gián đoạn khi triển khai mô hình tổ chức chính quyền địa phương 2 cấp.</w:t>
      </w:r>
    </w:p>
    <w:p w14:paraId="45D36349" w14:textId="1C1A9F94" w:rsidR="00964372" w:rsidRPr="003F0DBC" w:rsidRDefault="00367E35" w:rsidP="00C2663D">
      <w:pPr>
        <w:pBdr>
          <w:top w:val="dotted" w:sz="4" w:space="0" w:color="FFFFFF"/>
          <w:left w:val="dotted" w:sz="4" w:space="0" w:color="FFFFFF"/>
          <w:bottom w:val="dotted" w:sz="4" w:space="10" w:color="FFFFFF"/>
          <w:right w:val="dotted" w:sz="4" w:space="2" w:color="FFFFFF"/>
        </w:pBdr>
        <w:shd w:val="clear" w:color="auto" w:fill="FFFFFF"/>
        <w:tabs>
          <w:tab w:val="left" w:pos="720"/>
        </w:tabs>
        <w:spacing w:before="60" w:after="80"/>
        <w:ind w:firstLine="720"/>
        <w:jc w:val="both"/>
        <w:rPr>
          <w:spacing w:val="-4"/>
          <w:lang w:val="en-US"/>
        </w:rPr>
      </w:pPr>
      <w:r w:rsidRPr="003F0DBC">
        <w:rPr>
          <w:spacing w:val="-4"/>
        </w:rPr>
        <w:t xml:space="preserve">Trên đây là Báo cáo </w:t>
      </w:r>
      <w:r w:rsidR="007D2E09" w:rsidRPr="003F0DBC">
        <w:rPr>
          <w:spacing w:val="-4"/>
        </w:rPr>
        <w:t xml:space="preserve">tình hình, kết quả </w:t>
      </w:r>
      <w:r w:rsidR="009E5CB2" w:rsidRPr="003F0DBC">
        <w:rPr>
          <w:spacing w:val="-4"/>
        </w:rPr>
        <w:t xml:space="preserve">công tác </w:t>
      </w:r>
      <w:r w:rsidR="007D2E09" w:rsidRPr="003F0DBC">
        <w:rPr>
          <w:spacing w:val="-4"/>
        </w:rPr>
        <w:t xml:space="preserve">cải cách TTHC tháng </w:t>
      </w:r>
      <w:r w:rsidR="00D22708" w:rsidRPr="003F0DBC">
        <w:rPr>
          <w:spacing w:val="-4"/>
        </w:rPr>
        <w:t>5</w:t>
      </w:r>
      <w:r w:rsidR="002C5425" w:rsidRPr="003F0DBC">
        <w:rPr>
          <w:spacing w:val="-4"/>
        </w:rPr>
        <w:t xml:space="preserve"> </w:t>
      </w:r>
      <w:r w:rsidR="006A624A" w:rsidRPr="003F0DBC">
        <w:rPr>
          <w:spacing w:val="-4"/>
        </w:rPr>
        <w:br/>
      </w:r>
      <w:r w:rsidR="006F6CE6" w:rsidRPr="003F0DBC">
        <w:rPr>
          <w:spacing w:val="-4"/>
        </w:rPr>
        <w:t>năm 2025</w:t>
      </w:r>
      <w:r w:rsidRPr="003F0DBC">
        <w:rPr>
          <w:spacing w:val="-6"/>
        </w:rPr>
        <w:t>, Văn phòng Chính phủ kính trình Chính phủ./.</w:t>
      </w:r>
    </w:p>
    <w:tbl>
      <w:tblPr>
        <w:tblStyle w:val="a2"/>
        <w:tblW w:w="9072" w:type="dxa"/>
        <w:tblLayout w:type="fixed"/>
        <w:tblLook w:val="0000" w:firstRow="0" w:lastRow="0" w:firstColumn="0" w:lastColumn="0" w:noHBand="0" w:noVBand="0"/>
      </w:tblPr>
      <w:tblGrid>
        <w:gridCol w:w="4678"/>
        <w:gridCol w:w="4394"/>
      </w:tblGrid>
      <w:tr w:rsidR="00064A54" w:rsidRPr="00064A54" w14:paraId="3DA52AEA" w14:textId="77777777" w:rsidTr="004B05F5">
        <w:trPr>
          <w:trHeight w:val="1402"/>
        </w:trPr>
        <w:tc>
          <w:tcPr>
            <w:tcW w:w="4678" w:type="dxa"/>
          </w:tcPr>
          <w:p w14:paraId="3CB921DA" w14:textId="77777777" w:rsidR="00964372" w:rsidRPr="00064A54" w:rsidRDefault="00367E35" w:rsidP="00F36DD5">
            <w:pPr>
              <w:widowControl w:val="0"/>
              <w:spacing w:after="40"/>
              <w:jc w:val="both"/>
              <w:rPr>
                <w:sz w:val="24"/>
                <w:szCs w:val="24"/>
              </w:rPr>
            </w:pPr>
            <w:r w:rsidRPr="00064A54">
              <w:rPr>
                <w:b/>
                <w:i/>
                <w:sz w:val="24"/>
                <w:szCs w:val="24"/>
              </w:rPr>
              <w:t>Nơi nhận</w:t>
            </w:r>
            <w:r w:rsidRPr="00064A54">
              <w:rPr>
                <w:sz w:val="24"/>
                <w:szCs w:val="24"/>
              </w:rPr>
              <w:t>:</w:t>
            </w:r>
          </w:p>
          <w:p w14:paraId="280588A0" w14:textId="77777777" w:rsidR="000F5E72" w:rsidRPr="00612517" w:rsidRDefault="000F5E72" w:rsidP="000F5E72">
            <w:pPr>
              <w:ind w:left="-108"/>
              <w:rPr>
                <w:sz w:val="22"/>
                <w:szCs w:val="22"/>
              </w:rPr>
            </w:pPr>
            <w:r w:rsidRPr="00612517">
              <w:rPr>
                <w:sz w:val="22"/>
                <w:szCs w:val="22"/>
              </w:rPr>
              <w:t xml:space="preserve">  - Như trên;</w:t>
            </w:r>
          </w:p>
          <w:p w14:paraId="77571A9E" w14:textId="77777777" w:rsidR="000F5E72" w:rsidRPr="00612517" w:rsidRDefault="000F5E72" w:rsidP="000F5E72">
            <w:pPr>
              <w:ind w:left="-108"/>
              <w:rPr>
                <w:sz w:val="22"/>
                <w:szCs w:val="22"/>
              </w:rPr>
            </w:pPr>
            <w:r w:rsidRPr="00612517">
              <w:rPr>
                <w:sz w:val="22"/>
                <w:szCs w:val="22"/>
              </w:rPr>
              <w:t xml:space="preserve">  - TTgCP, các Phó TTgCP (để b/c); </w:t>
            </w:r>
          </w:p>
          <w:p w14:paraId="63A51DF3" w14:textId="77777777" w:rsidR="000F5E72" w:rsidRPr="00612517" w:rsidRDefault="000F5E72" w:rsidP="000F5E72">
            <w:pPr>
              <w:ind w:left="-108"/>
              <w:rPr>
                <w:sz w:val="22"/>
                <w:szCs w:val="22"/>
              </w:rPr>
            </w:pPr>
            <w:r w:rsidRPr="00612517">
              <w:rPr>
                <w:sz w:val="22"/>
                <w:szCs w:val="22"/>
              </w:rPr>
              <w:t xml:space="preserve">  - Các bộ, cơ quan ngang bộ, Cơ quan thuộc CP;</w:t>
            </w:r>
          </w:p>
          <w:p w14:paraId="66272FB4" w14:textId="53C3D4A9" w:rsidR="0095322F" w:rsidRPr="00CC7637" w:rsidRDefault="000F5E72" w:rsidP="0095322F">
            <w:pPr>
              <w:ind w:left="-108"/>
              <w:rPr>
                <w:sz w:val="22"/>
                <w:szCs w:val="22"/>
              </w:rPr>
            </w:pPr>
            <w:r w:rsidRPr="00612517">
              <w:rPr>
                <w:sz w:val="22"/>
                <w:szCs w:val="22"/>
              </w:rPr>
              <w:t xml:space="preserve">  - </w:t>
            </w:r>
            <w:r w:rsidRPr="00CC7637">
              <w:rPr>
                <w:sz w:val="22"/>
                <w:szCs w:val="22"/>
              </w:rPr>
              <w:t>UBND các tỉnh, thành phố trực thuộc TW;</w:t>
            </w:r>
          </w:p>
          <w:p w14:paraId="16AAD511" w14:textId="1AC22EB0" w:rsidR="000F5E72" w:rsidRPr="00CC7637" w:rsidRDefault="000F5E72" w:rsidP="000F5E72">
            <w:pPr>
              <w:ind w:left="-108" w:firstLine="108"/>
              <w:rPr>
                <w:sz w:val="22"/>
                <w:szCs w:val="22"/>
              </w:rPr>
            </w:pPr>
            <w:r w:rsidRPr="00CC7637">
              <w:rPr>
                <w:sz w:val="22"/>
                <w:szCs w:val="22"/>
              </w:rPr>
              <w:t>- Thành viên Tổ công tác cải cách TTHC;</w:t>
            </w:r>
          </w:p>
          <w:p w14:paraId="32BCAF0A" w14:textId="78320B9D" w:rsidR="000F5E72" w:rsidRPr="00CC7637" w:rsidRDefault="000F5E72" w:rsidP="000F5E72">
            <w:pPr>
              <w:ind w:left="-108" w:firstLine="108"/>
              <w:rPr>
                <w:sz w:val="22"/>
                <w:szCs w:val="22"/>
              </w:rPr>
            </w:pPr>
            <w:r w:rsidRPr="00CC7637">
              <w:rPr>
                <w:sz w:val="22"/>
                <w:szCs w:val="22"/>
              </w:rPr>
              <w:t>- Thành viên Hội đồng tư vấn cải cách TTHC;</w:t>
            </w:r>
          </w:p>
          <w:p w14:paraId="32F4905B" w14:textId="5E9792BF" w:rsidR="0095322F" w:rsidRPr="00CC7637" w:rsidRDefault="0095322F" w:rsidP="0095322F">
            <w:pPr>
              <w:ind w:left="-108" w:firstLine="108"/>
              <w:rPr>
                <w:sz w:val="22"/>
                <w:szCs w:val="22"/>
              </w:rPr>
            </w:pPr>
            <w:r w:rsidRPr="00CC7637">
              <w:rPr>
                <w:sz w:val="22"/>
                <w:szCs w:val="22"/>
              </w:rPr>
              <w:t>- Hội đồng Tư vấn chính sách;</w:t>
            </w:r>
          </w:p>
          <w:p w14:paraId="0B93DF83" w14:textId="77777777" w:rsidR="000F5E72" w:rsidRPr="00612517" w:rsidRDefault="000F5E72" w:rsidP="000F5E72">
            <w:pPr>
              <w:ind w:left="-108"/>
              <w:jc w:val="both"/>
              <w:rPr>
                <w:sz w:val="22"/>
                <w:szCs w:val="22"/>
              </w:rPr>
            </w:pPr>
            <w:r w:rsidRPr="00CC7637">
              <w:rPr>
                <w:sz w:val="22"/>
                <w:szCs w:val="22"/>
              </w:rPr>
              <w:t xml:space="preserve">  - VPCP: BTCN, các PCN</w:t>
            </w:r>
            <w:r w:rsidRPr="00612517">
              <w:rPr>
                <w:sz w:val="22"/>
                <w:szCs w:val="22"/>
              </w:rPr>
              <w:t xml:space="preserve">, </w:t>
            </w:r>
          </w:p>
          <w:p w14:paraId="42F26601" w14:textId="77777777" w:rsidR="000F5E72" w:rsidRPr="00612517" w:rsidRDefault="000F5E72" w:rsidP="000F5E72">
            <w:pPr>
              <w:ind w:left="-108"/>
              <w:jc w:val="both"/>
              <w:rPr>
                <w:sz w:val="22"/>
                <w:szCs w:val="22"/>
              </w:rPr>
            </w:pPr>
            <w:r w:rsidRPr="00612517">
              <w:rPr>
                <w:sz w:val="22"/>
                <w:szCs w:val="22"/>
              </w:rPr>
              <w:t xml:space="preserve">    Trợ lý, Thư ký TTg, các PTTg,</w:t>
            </w:r>
          </w:p>
          <w:p w14:paraId="683FFDCA" w14:textId="77777777" w:rsidR="000F5E72" w:rsidRPr="00612517" w:rsidRDefault="000F5E72" w:rsidP="000F5E72">
            <w:pPr>
              <w:ind w:left="-108"/>
              <w:jc w:val="both"/>
              <w:rPr>
                <w:sz w:val="22"/>
                <w:szCs w:val="22"/>
              </w:rPr>
            </w:pPr>
            <w:r w:rsidRPr="00612517">
              <w:rPr>
                <w:sz w:val="22"/>
                <w:szCs w:val="22"/>
              </w:rPr>
              <w:t xml:space="preserve">    các Vụ, Cục: TH, KTTH, PL, KGVX, NC, CN,</w:t>
            </w:r>
          </w:p>
          <w:p w14:paraId="79F82EE2" w14:textId="77777777" w:rsidR="000F5E72" w:rsidRPr="00612517" w:rsidRDefault="000F5E72" w:rsidP="000F5E72">
            <w:pPr>
              <w:ind w:left="-108"/>
              <w:jc w:val="both"/>
              <w:rPr>
                <w:sz w:val="22"/>
                <w:szCs w:val="22"/>
              </w:rPr>
            </w:pPr>
            <w:r w:rsidRPr="00612517">
              <w:rPr>
                <w:sz w:val="22"/>
                <w:szCs w:val="22"/>
              </w:rPr>
              <w:t xml:space="preserve">    NN, ĐMDN, TCCV, TCCB;</w:t>
            </w:r>
          </w:p>
          <w:p w14:paraId="3A9D0AD5" w14:textId="51D3147E" w:rsidR="00964372" w:rsidRPr="00064A54" w:rsidRDefault="000F5E72" w:rsidP="000F5E72">
            <w:pPr>
              <w:widowControl w:val="0"/>
              <w:ind w:left="-108"/>
              <w:jc w:val="both"/>
              <w:rPr>
                <w:sz w:val="28"/>
                <w:szCs w:val="28"/>
              </w:rPr>
            </w:pPr>
            <w:r w:rsidRPr="00612517">
              <w:rPr>
                <w:sz w:val="22"/>
                <w:szCs w:val="22"/>
              </w:rPr>
              <w:t xml:space="preserve"> </w:t>
            </w:r>
            <w:r w:rsidR="00C30B75">
              <w:rPr>
                <w:sz w:val="22"/>
                <w:szCs w:val="22"/>
              </w:rPr>
              <w:t xml:space="preserve"> </w:t>
            </w:r>
            <w:r w:rsidRPr="00612517">
              <w:rPr>
                <w:sz w:val="22"/>
                <w:szCs w:val="22"/>
              </w:rPr>
              <w:t>- Lưu: VT, KSTT (2b).</w:t>
            </w:r>
          </w:p>
        </w:tc>
        <w:tc>
          <w:tcPr>
            <w:tcW w:w="4394" w:type="dxa"/>
          </w:tcPr>
          <w:p w14:paraId="23CC109E" w14:textId="21BD8090" w:rsidR="006E2508" w:rsidRDefault="006E2508" w:rsidP="003D54FA">
            <w:pPr>
              <w:widowControl w:val="0"/>
              <w:jc w:val="center"/>
              <w:rPr>
                <w:b/>
                <w:sz w:val="28"/>
                <w:szCs w:val="28"/>
              </w:rPr>
            </w:pPr>
            <w:r w:rsidRPr="00064A54">
              <w:rPr>
                <w:b/>
                <w:sz w:val="28"/>
                <w:szCs w:val="28"/>
              </w:rPr>
              <w:t>BỘ TRƯỞNG, CHỦ NHIỆM</w:t>
            </w:r>
          </w:p>
          <w:p w14:paraId="66A64D6B" w14:textId="77777777" w:rsidR="006E2508" w:rsidRPr="00064A54" w:rsidRDefault="006E2508" w:rsidP="006E2508">
            <w:pPr>
              <w:widowControl w:val="0"/>
              <w:spacing w:after="120"/>
              <w:jc w:val="center"/>
              <w:rPr>
                <w:b/>
                <w:sz w:val="28"/>
                <w:szCs w:val="28"/>
              </w:rPr>
            </w:pPr>
          </w:p>
          <w:p w14:paraId="5ECE8D3A" w14:textId="3377B5BA" w:rsidR="006E2508" w:rsidRPr="004F7FEE" w:rsidRDefault="006E2508" w:rsidP="004F7FEE">
            <w:pPr>
              <w:widowControl w:val="0"/>
              <w:spacing w:after="120"/>
              <w:jc w:val="center"/>
              <w:rPr>
                <w:b/>
                <w:color w:val="FFFFFF" w:themeColor="background1"/>
                <w:sz w:val="28"/>
                <w:szCs w:val="28"/>
              </w:rPr>
            </w:pPr>
            <w:r w:rsidRPr="00064A54">
              <w:rPr>
                <w:b/>
                <w:color w:val="FFFFFF" w:themeColor="background1"/>
                <w:sz w:val="28"/>
                <w:szCs w:val="28"/>
              </w:rPr>
              <w:t xml:space="preserve"> [daky]</w:t>
            </w:r>
          </w:p>
          <w:p w14:paraId="350CDD29" w14:textId="77777777" w:rsidR="006E2508" w:rsidRPr="00064A54" w:rsidRDefault="006E2508" w:rsidP="006E2508">
            <w:pPr>
              <w:widowControl w:val="0"/>
              <w:spacing w:after="120"/>
              <w:jc w:val="center"/>
              <w:rPr>
                <w:b/>
                <w:sz w:val="28"/>
                <w:szCs w:val="28"/>
              </w:rPr>
            </w:pPr>
          </w:p>
          <w:p w14:paraId="498D47BC" w14:textId="77777777" w:rsidR="006E2508" w:rsidRPr="00064A54" w:rsidRDefault="006E2508" w:rsidP="006E2508">
            <w:pPr>
              <w:widowControl w:val="0"/>
              <w:spacing w:after="120"/>
              <w:jc w:val="center"/>
              <w:rPr>
                <w:b/>
                <w:sz w:val="28"/>
                <w:szCs w:val="28"/>
              </w:rPr>
            </w:pPr>
          </w:p>
          <w:p w14:paraId="05B9A2BF" w14:textId="3E7D2F7C" w:rsidR="00964372" w:rsidRPr="00064A54" w:rsidRDefault="0020405E" w:rsidP="006E2508">
            <w:pPr>
              <w:widowControl w:val="0"/>
              <w:spacing w:after="120"/>
              <w:jc w:val="center"/>
              <w:rPr>
                <w:b/>
                <w:sz w:val="28"/>
                <w:szCs w:val="28"/>
              </w:rPr>
            </w:pPr>
            <w:r>
              <w:rPr>
                <w:b/>
                <w:sz w:val="28"/>
                <w:szCs w:val="28"/>
              </w:rPr>
              <w:t>Trần Văn Sơn</w:t>
            </w:r>
          </w:p>
        </w:tc>
      </w:tr>
      <w:bookmarkEnd w:id="0"/>
    </w:tbl>
    <w:p w14:paraId="046C2F53" w14:textId="77777777" w:rsidR="00964372" w:rsidRPr="00064A54" w:rsidRDefault="00964372" w:rsidP="0086082F">
      <w:pPr>
        <w:spacing w:after="120"/>
      </w:pPr>
    </w:p>
    <w:sectPr w:rsidR="00964372" w:rsidRPr="00064A54" w:rsidSect="008920E0">
      <w:headerReference w:type="default" r:id="rId9"/>
      <w:footerReference w:type="default" r:id="rId10"/>
      <w:headerReference w:type="first" r:id="rId11"/>
      <w:pgSz w:w="11907" w:h="16840" w:code="9"/>
      <w:pgMar w:top="1134" w:right="1134" w:bottom="1134" w:left="1701" w:header="425" w:footer="51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84438" w14:textId="77777777" w:rsidR="00B609D3" w:rsidRDefault="00B609D3">
      <w:r>
        <w:separator/>
      </w:r>
    </w:p>
  </w:endnote>
  <w:endnote w:type="continuationSeparator" w:id="0">
    <w:p w14:paraId="57ED2E82" w14:textId="77777777" w:rsidR="00B609D3" w:rsidRDefault="00B6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charset w:val="00"/>
    <w:family w:val="swiss"/>
    <w:pitch w:val="variable"/>
    <w:sig w:usb0="00000007" w:usb1="00000000" w:usb2="00000000" w:usb3="00000000" w:csb0="00000013" w:csb1="00000000"/>
  </w:font>
  <w:font w:name=".VnTime">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4E46C" w14:textId="77777777" w:rsidR="00DA5B7B" w:rsidRDefault="00DA5B7B">
    <w:pPr>
      <w:pBdr>
        <w:top w:val="nil"/>
        <w:left w:val="nil"/>
        <w:bottom w:val="nil"/>
        <w:right w:val="nil"/>
        <w:between w:val="nil"/>
      </w:pBdr>
      <w:tabs>
        <w:tab w:val="center" w:pos="4680"/>
        <w:tab w:val="right" w:pos="9360"/>
      </w:tabs>
      <w:jc w:val="right"/>
      <w:rPr>
        <w:color w:val="000000"/>
      </w:rPr>
    </w:pPr>
  </w:p>
  <w:p w14:paraId="4F3BF281" w14:textId="77777777" w:rsidR="00DA5B7B" w:rsidRDefault="00DA5B7B">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970A6" w14:textId="77777777" w:rsidR="00B609D3" w:rsidRDefault="00B609D3">
      <w:r>
        <w:separator/>
      </w:r>
    </w:p>
  </w:footnote>
  <w:footnote w:type="continuationSeparator" w:id="0">
    <w:p w14:paraId="59E95203" w14:textId="77777777" w:rsidR="00B609D3" w:rsidRDefault="00B609D3">
      <w:r>
        <w:continuationSeparator/>
      </w:r>
    </w:p>
  </w:footnote>
  <w:footnote w:id="1">
    <w:p w14:paraId="0C5B9B26" w14:textId="1BF20FA7"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Nghị quyết số 11/NQ-CP ngày 09/01/2024 của Chính phủ; Công điện số 644/CĐ-TTg ngày 13/7/2023</w:t>
      </w:r>
    </w:p>
  </w:footnote>
  <w:footnote w:id="2">
    <w:p w14:paraId="7DCBEEB5" w14:textId="0EACBD65" w:rsidR="00E039DF" w:rsidRPr="00313034" w:rsidRDefault="00E039DF" w:rsidP="00313034">
      <w:pPr>
        <w:pStyle w:val="FootnoteText"/>
        <w:jc w:val="both"/>
        <w:rPr>
          <w:sz w:val="20"/>
          <w:szCs w:val="20"/>
          <w:lang w:val="en-US"/>
        </w:rPr>
      </w:pPr>
      <w:r w:rsidRPr="003F0DBC">
        <w:rPr>
          <w:rStyle w:val="FootnoteReference"/>
          <w:sz w:val="20"/>
          <w:szCs w:val="20"/>
        </w:rPr>
        <w:footnoteRef/>
      </w:r>
      <w:r w:rsidRPr="00313034">
        <w:rPr>
          <w:sz w:val="20"/>
          <w:szCs w:val="20"/>
        </w:rPr>
        <w:t xml:space="preserve"> </w:t>
      </w:r>
      <w:r w:rsidR="00D26EDB" w:rsidRPr="00313034">
        <w:rPr>
          <w:sz w:val="20"/>
          <w:szCs w:val="20"/>
          <w:lang w:val="en-US"/>
        </w:rPr>
        <w:t>Công văn số 623/TTg-</w:t>
      </w:r>
      <w:r w:rsidR="003D4272" w:rsidRPr="00313034">
        <w:rPr>
          <w:sz w:val="20"/>
          <w:szCs w:val="20"/>
          <w:lang w:val="en-US"/>
        </w:rPr>
        <w:t>KSTT ngày 30/5/2025</w:t>
      </w:r>
    </w:p>
  </w:footnote>
  <w:footnote w:id="3">
    <w:p w14:paraId="79FE6254" w14:textId="12F44AA7"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Nghị quyết số 124/NQ-CP ngày 08/5/2025</w:t>
      </w:r>
    </w:p>
  </w:footnote>
  <w:footnote w:id="4">
    <w:p w14:paraId="1E4A4106" w14:textId="77777777" w:rsidR="00F9078D" w:rsidRPr="003F0DBC" w:rsidRDefault="00F9078D"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Công văn số 500/TTg-KSTT ngày 04/5/2025</w:t>
      </w:r>
    </w:p>
  </w:footnote>
  <w:footnote w:id="5">
    <w:p w14:paraId="6E388D88" w14:textId="294801D3" w:rsidR="00DA5B7B" w:rsidRPr="003F0DBC" w:rsidRDefault="00DA5B7B" w:rsidP="00313034">
      <w:pPr>
        <w:pStyle w:val="FootnoteText"/>
        <w:jc w:val="both"/>
        <w:rPr>
          <w:spacing w:val="-4"/>
          <w:sz w:val="20"/>
          <w:szCs w:val="20"/>
          <w:lang w:val="en-US"/>
        </w:rPr>
      </w:pPr>
      <w:r w:rsidRPr="003F0DBC">
        <w:rPr>
          <w:rStyle w:val="FootnoteReference"/>
          <w:spacing w:val="-4"/>
          <w:sz w:val="20"/>
          <w:szCs w:val="20"/>
        </w:rPr>
        <w:footnoteRef/>
      </w:r>
      <w:r w:rsidRPr="003F0DBC">
        <w:rPr>
          <w:spacing w:val="-4"/>
          <w:sz w:val="20"/>
          <w:szCs w:val="20"/>
          <w:lang w:val="en-US"/>
        </w:rPr>
        <w:t xml:space="preserve"> Gồm Công điện số</w:t>
      </w:r>
      <w:r w:rsidRPr="003F0DBC">
        <w:rPr>
          <w:spacing w:val="-4"/>
          <w:sz w:val="20"/>
          <w:szCs w:val="20"/>
        </w:rPr>
        <w:t xml:space="preserve"> </w:t>
      </w:r>
      <w:r w:rsidRPr="003F0DBC">
        <w:rPr>
          <w:spacing w:val="-4"/>
          <w:sz w:val="20"/>
          <w:szCs w:val="20"/>
          <w:lang w:val="en-US"/>
        </w:rPr>
        <w:t>56/CĐ-TTg ngày 04/5/2025</w:t>
      </w:r>
      <w:r w:rsidR="001855A5" w:rsidRPr="003F0DBC">
        <w:rPr>
          <w:spacing w:val="-4"/>
          <w:sz w:val="20"/>
          <w:szCs w:val="20"/>
          <w:lang w:val="en-US"/>
        </w:rPr>
        <w:t xml:space="preserve">, </w:t>
      </w:r>
      <w:r w:rsidR="00F8424E" w:rsidRPr="003F0DBC">
        <w:rPr>
          <w:spacing w:val="-4"/>
          <w:sz w:val="20"/>
          <w:szCs w:val="20"/>
          <w:lang w:val="en-US"/>
        </w:rPr>
        <w:t>số 69/CĐ-TTg ngày 22/5/2025</w:t>
      </w:r>
      <w:r w:rsidR="001855A5" w:rsidRPr="003F0DBC">
        <w:rPr>
          <w:spacing w:val="-4"/>
          <w:sz w:val="20"/>
          <w:szCs w:val="20"/>
          <w:lang w:val="en-US"/>
        </w:rPr>
        <w:t xml:space="preserve"> và số 78/CĐ-TTg ngày 29/5/2025</w:t>
      </w:r>
    </w:p>
  </w:footnote>
  <w:footnote w:id="6">
    <w:p w14:paraId="100C6687" w14:textId="04785133" w:rsidR="000C488D" w:rsidRPr="003F0DBC" w:rsidRDefault="000C488D"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pacing w:val="-4"/>
          <w:sz w:val="20"/>
          <w:szCs w:val="20"/>
          <w:lang w:val="en-US"/>
        </w:rPr>
        <w:t>Công điện số 63/CĐ-TTg ngày 12/5/2025</w:t>
      </w:r>
    </w:p>
  </w:footnote>
  <w:footnote w:id="7">
    <w:p w14:paraId="0BD71BB3" w14:textId="116CB2D4" w:rsidR="00BD59B2" w:rsidRPr="003F0DBC" w:rsidRDefault="00BD59B2" w:rsidP="00313034">
      <w:pPr>
        <w:pStyle w:val="FootnoteText"/>
        <w:jc w:val="both"/>
        <w:rPr>
          <w:spacing w:val="-10"/>
          <w:sz w:val="20"/>
          <w:szCs w:val="20"/>
          <w:lang w:val="en-US"/>
        </w:rPr>
      </w:pPr>
      <w:r w:rsidRPr="003F0DBC">
        <w:rPr>
          <w:rStyle w:val="FootnoteReference"/>
          <w:spacing w:val="-10"/>
          <w:sz w:val="20"/>
          <w:szCs w:val="20"/>
        </w:rPr>
        <w:footnoteRef/>
      </w:r>
      <w:r w:rsidRPr="003F0DBC">
        <w:rPr>
          <w:spacing w:val="-10"/>
          <w:sz w:val="20"/>
          <w:szCs w:val="20"/>
        </w:rPr>
        <w:t xml:space="preserve"> Văn bản số </w:t>
      </w:r>
      <w:r w:rsidR="003677F6" w:rsidRPr="003F0DBC">
        <w:rPr>
          <w:spacing w:val="-10"/>
          <w:sz w:val="20"/>
          <w:szCs w:val="20"/>
        </w:rPr>
        <w:t>61/TCTCCTTHC ngày 25/5/2025, số 62/TCTCCTTHC ngày 25/5/2025 và số 63/TCTCCTTHC ngày 25/5/2025</w:t>
      </w:r>
    </w:p>
  </w:footnote>
  <w:footnote w:id="8">
    <w:p w14:paraId="1647B43F" w14:textId="2082569A"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Gồm: 08 dự thảo Nghị định, 17 dự thảo Thông tư, 01 Quyết định của UBND cấp tỉnh.</w:t>
      </w:r>
    </w:p>
  </w:footnote>
  <w:footnote w:id="9">
    <w:p w14:paraId="57DA8391" w14:textId="2A2EF917" w:rsidR="00DA5B7B" w:rsidRPr="003F0DBC" w:rsidRDefault="00DA5B7B" w:rsidP="00313034">
      <w:pPr>
        <w:pStyle w:val="FootnoteText"/>
        <w:jc w:val="both"/>
        <w:rPr>
          <w:spacing w:val="-4"/>
          <w:sz w:val="20"/>
          <w:szCs w:val="20"/>
          <w:lang w:val="en-US"/>
        </w:rPr>
      </w:pPr>
      <w:r w:rsidRPr="003F0DBC">
        <w:rPr>
          <w:rStyle w:val="FootnoteReference"/>
          <w:spacing w:val="-4"/>
          <w:sz w:val="20"/>
          <w:szCs w:val="20"/>
        </w:rPr>
        <w:footnoteRef/>
      </w:r>
      <w:r w:rsidRPr="003F0DBC">
        <w:rPr>
          <w:spacing w:val="-4"/>
          <w:sz w:val="20"/>
          <w:szCs w:val="20"/>
        </w:rPr>
        <w:t xml:space="preserve"> </w:t>
      </w:r>
      <w:r w:rsidRPr="003F0DBC">
        <w:rPr>
          <w:spacing w:val="-4"/>
          <w:sz w:val="20"/>
          <w:szCs w:val="20"/>
          <w:lang w:val="en-US"/>
        </w:rPr>
        <w:t xml:space="preserve">Gồm: 01 dự thảo Luật, 03 dự thảo Nghị định, </w:t>
      </w:r>
      <w:r w:rsidR="00D25F0B" w:rsidRPr="003F0DBC">
        <w:rPr>
          <w:spacing w:val="-4"/>
          <w:sz w:val="20"/>
          <w:szCs w:val="20"/>
          <w:lang w:val="en-US"/>
        </w:rPr>
        <w:t xml:space="preserve">01 Quyết định của Thủ tướng Chính phủ, </w:t>
      </w:r>
      <w:r w:rsidRPr="003F0DBC">
        <w:rPr>
          <w:spacing w:val="-4"/>
          <w:sz w:val="20"/>
          <w:szCs w:val="20"/>
          <w:lang w:val="en-US"/>
        </w:rPr>
        <w:t>13 Thông tư và 01 dự thảo Quyết định của Chủ tịch UBND cấp tỉnh.</w:t>
      </w:r>
    </w:p>
  </w:footnote>
  <w:footnote w:id="10">
    <w:p w14:paraId="77376F73" w14:textId="41570900"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 xml:space="preserve">Gồm: 03 dự thảo Luật, </w:t>
      </w:r>
      <w:r w:rsidR="00CB6B35" w:rsidRPr="003F0DBC">
        <w:rPr>
          <w:sz w:val="20"/>
          <w:szCs w:val="20"/>
          <w:lang w:val="en-US"/>
        </w:rPr>
        <w:t xml:space="preserve">58 </w:t>
      </w:r>
      <w:r w:rsidRPr="003F0DBC">
        <w:rPr>
          <w:sz w:val="20"/>
          <w:szCs w:val="20"/>
          <w:lang w:val="en-US"/>
        </w:rPr>
        <w:t xml:space="preserve">dự thảo Nghị định, </w:t>
      </w:r>
      <w:r w:rsidR="00CB6B35" w:rsidRPr="003F0DBC">
        <w:rPr>
          <w:sz w:val="20"/>
          <w:szCs w:val="20"/>
          <w:lang w:val="en-US"/>
        </w:rPr>
        <w:t xml:space="preserve">43 </w:t>
      </w:r>
      <w:r w:rsidRPr="003F0DBC">
        <w:rPr>
          <w:sz w:val="20"/>
          <w:szCs w:val="20"/>
          <w:lang w:val="en-US"/>
        </w:rPr>
        <w:t xml:space="preserve">Thông tư, 06 dự thảo Nghị quyết của HĐND cấp tỉnh, </w:t>
      </w:r>
      <w:r w:rsidR="00CB6B35" w:rsidRPr="003F0DBC">
        <w:rPr>
          <w:sz w:val="20"/>
          <w:szCs w:val="20"/>
          <w:lang w:val="en-US"/>
        </w:rPr>
        <w:t xml:space="preserve">05 </w:t>
      </w:r>
      <w:r w:rsidRPr="003F0DBC">
        <w:rPr>
          <w:sz w:val="20"/>
          <w:szCs w:val="20"/>
          <w:lang w:val="en-US"/>
        </w:rPr>
        <w:t>dự thảo Quyết định của UBND cấp tỉnh.</w:t>
      </w:r>
    </w:p>
  </w:footnote>
  <w:footnote w:id="11">
    <w:p w14:paraId="2C2E1392" w14:textId="363EDA0D"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 xml:space="preserve">Gồm: </w:t>
      </w:r>
      <w:r w:rsidR="00CB6B35" w:rsidRPr="003F0DBC">
        <w:rPr>
          <w:sz w:val="20"/>
          <w:szCs w:val="20"/>
          <w:lang w:val="en-US"/>
        </w:rPr>
        <w:t xml:space="preserve">06 </w:t>
      </w:r>
      <w:r w:rsidRPr="003F0DBC">
        <w:rPr>
          <w:sz w:val="20"/>
          <w:szCs w:val="20"/>
          <w:lang w:val="en-US"/>
        </w:rPr>
        <w:t xml:space="preserve">dự thảo Luật, </w:t>
      </w:r>
      <w:r w:rsidR="00CB6B35" w:rsidRPr="003F0DBC">
        <w:rPr>
          <w:sz w:val="20"/>
          <w:szCs w:val="20"/>
          <w:lang w:val="en-US"/>
        </w:rPr>
        <w:t xml:space="preserve">39 </w:t>
      </w:r>
      <w:r w:rsidRPr="003F0DBC">
        <w:rPr>
          <w:sz w:val="20"/>
          <w:szCs w:val="20"/>
          <w:lang w:val="en-US"/>
        </w:rPr>
        <w:t>dự thảo Nghị định, 0</w:t>
      </w:r>
      <w:r w:rsidR="00D97A4A" w:rsidRPr="003F0DBC">
        <w:rPr>
          <w:sz w:val="20"/>
          <w:szCs w:val="20"/>
          <w:lang w:val="en-US"/>
        </w:rPr>
        <w:t>5</w:t>
      </w:r>
      <w:r w:rsidRPr="003F0DBC">
        <w:rPr>
          <w:sz w:val="20"/>
          <w:szCs w:val="20"/>
          <w:lang w:val="en-US"/>
        </w:rPr>
        <w:t xml:space="preserve"> dự thảo Quyết định của TTgCP, </w:t>
      </w:r>
      <w:r w:rsidR="00CB6B35" w:rsidRPr="003F0DBC">
        <w:rPr>
          <w:sz w:val="20"/>
          <w:szCs w:val="20"/>
          <w:lang w:val="en-US"/>
        </w:rPr>
        <w:t xml:space="preserve">44 </w:t>
      </w:r>
      <w:r w:rsidRPr="003F0DBC">
        <w:rPr>
          <w:sz w:val="20"/>
          <w:szCs w:val="20"/>
          <w:lang w:val="en-US"/>
        </w:rPr>
        <w:t xml:space="preserve">dự thảo Thông tư, 07 dự thảo Nghị quyết của HĐND cấp tỉnh, </w:t>
      </w:r>
      <w:r w:rsidR="00CB6B35" w:rsidRPr="003F0DBC">
        <w:rPr>
          <w:sz w:val="20"/>
          <w:szCs w:val="20"/>
          <w:lang w:val="en-US"/>
        </w:rPr>
        <w:t xml:space="preserve">30 </w:t>
      </w:r>
      <w:r w:rsidRPr="003F0DBC">
        <w:rPr>
          <w:sz w:val="20"/>
          <w:szCs w:val="20"/>
          <w:lang w:val="en-US"/>
        </w:rPr>
        <w:t>dự thảo Quyết định của Chủ tịch UBND cấp tỉnh.</w:t>
      </w:r>
    </w:p>
  </w:footnote>
  <w:footnote w:id="12">
    <w:p w14:paraId="75A6ED6F" w14:textId="73BB2C9E"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Gồm: </w:t>
      </w:r>
      <w:r w:rsidRPr="003F0DBC">
        <w:rPr>
          <w:sz w:val="20"/>
          <w:szCs w:val="20"/>
          <w:lang w:val="en-US"/>
        </w:rPr>
        <w:t>01 dự thảo luật, 05 dự thảo Nghị định.</w:t>
      </w:r>
    </w:p>
  </w:footnote>
  <w:footnote w:id="13">
    <w:p w14:paraId="7AEEBD0E" w14:textId="0F48B5F8"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09 bộ gồm: Công an, Công Thương, Giáo dục và Đào tạo, Khoa học và Công nghệ, Nội vụ, Quốc phòng, Tài chính, Tư pháp, Y tế.</w:t>
      </w:r>
    </w:p>
  </w:footnote>
  <w:footnote w:id="14">
    <w:p w14:paraId="14C7A0D1" w14:textId="18A8C2C3"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Gồm các Quyết định: số</w:t>
      </w:r>
      <w:r w:rsidR="0002107D" w:rsidRPr="003F0DBC">
        <w:rPr>
          <w:sz w:val="20"/>
          <w:szCs w:val="20"/>
          <w:lang w:val="en-US"/>
        </w:rPr>
        <w:t xml:space="preserve"> 1597/QĐ-BNNMT ngày 23/5/2025, số 1524/QĐ-BNNMT ngày 20/5/2025 và số 1215/QĐ-BNNMT ngày 29/4/2025</w:t>
      </w:r>
    </w:p>
  </w:footnote>
  <w:footnote w:id="15">
    <w:p w14:paraId="0A954D3B" w14:textId="1E9D56F3" w:rsidR="00DA5B7B" w:rsidRPr="003F0DBC" w:rsidRDefault="00DA5B7B" w:rsidP="00313034">
      <w:pPr>
        <w:pStyle w:val="FootnoteText"/>
        <w:jc w:val="both"/>
        <w:rPr>
          <w:spacing w:val="-8"/>
          <w:sz w:val="20"/>
          <w:szCs w:val="20"/>
          <w:lang w:val="en-US"/>
        </w:rPr>
      </w:pPr>
      <w:r w:rsidRPr="003F0DBC">
        <w:rPr>
          <w:rStyle w:val="FootnoteReference"/>
          <w:spacing w:val="-8"/>
          <w:sz w:val="20"/>
          <w:szCs w:val="20"/>
        </w:rPr>
        <w:footnoteRef/>
      </w:r>
      <w:r w:rsidRPr="003F0DBC">
        <w:rPr>
          <w:spacing w:val="-8"/>
          <w:sz w:val="20"/>
          <w:szCs w:val="20"/>
        </w:rPr>
        <w:t xml:space="preserve"> </w:t>
      </w:r>
      <w:r w:rsidR="00903522" w:rsidRPr="003F0DBC">
        <w:rPr>
          <w:spacing w:val="-8"/>
          <w:sz w:val="20"/>
          <w:szCs w:val="20"/>
          <w:lang w:val="en-US"/>
        </w:rPr>
        <w:t>G</w:t>
      </w:r>
      <w:r w:rsidRPr="003F0DBC">
        <w:rPr>
          <w:sz w:val="20"/>
          <w:szCs w:val="20"/>
          <w:lang w:val="en-US"/>
        </w:rPr>
        <w:t>ồm: K</w:t>
      </w:r>
      <w:r w:rsidRPr="003F0DBC">
        <w:rPr>
          <w:iCs/>
          <w:sz w:val="20"/>
          <w:szCs w:val="20"/>
        </w:rPr>
        <w:t>hoa học và công nghệ, nông nghiệp, quản lý đê điều và phòng chống thiên tai, lâm nghiệp và kiểm lâm.</w:t>
      </w:r>
    </w:p>
  </w:footnote>
  <w:footnote w:id="16">
    <w:p w14:paraId="61BB3702" w14:textId="45E4AFD5" w:rsidR="00DA5B7B" w:rsidRPr="003F0DBC" w:rsidRDefault="00DA5B7B" w:rsidP="00313034">
      <w:pPr>
        <w:pStyle w:val="FootnoteText"/>
        <w:jc w:val="both"/>
        <w:rPr>
          <w:spacing w:val="-4"/>
          <w:sz w:val="20"/>
          <w:szCs w:val="20"/>
          <w:lang w:val="en-US"/>
        </w:rPr>
      </w:pPr>
      <w:r w:rsidRPr="003F0DBC">
        <w:rPr>
          <w:rStyle w:val="FootnoteReference"/>
          <w:spacing w:val="-4"/>
          <w:sz w:val="20"/>
          <w:szCs w:val="20"/>
        </w:rPr>
        <w:footnoteRef/>
      </w:r>
      <w:r w:rsidRPr="003F0DBC">
        <w:rPr>
          <w:spacing w:val="-4"/>
          <w:sz w:val="20"/>
          <w:szCs w:val="20"/>
        </w:rPr>
        <w:t xml:space="preserve"> </w:t>
      </w:r>
      <w:r w:rsidRPr="003F0DBC">
        <w:rPr>
          <w:spacing w:val="-4"/>
          <w:sz w:val="20"/>
          <w:szCs w:val="20"/>
          <w:lang w:val="en-US"/>
        </w:rPr>
        <w:t>Trong đó: 3.964 TTHC thuộc phạm vi quản lý của bộ, ngành; 413 TTHC được quy định tại VBQPPL của địa phương.</w:t>
      </w:r>
    </w:p>
  </w:footnote>
  <w:footnote w:id="17">
    <w:p w14:paraId="1F5F215B" w14:textId="210691F6"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Trong đó: 7.806 ĐKKD của 1.172 TTHC thuộc 234 ngành, nghề đầu tư kinh doanh có điều kiện; 1.171 ĐKKD của 214 TTHC thuộc các ngành, nghề không thuộc ngành, nghề đầu tư kinh doanh có điều kiện.</w:t>
      </w:r>
    </w:p>
  </w:footnote>
  <w:footnote w:id="18">
    <w:p w14:paraId="4E0E15C7" w14:textId="717DEEDA" w:rsidR="00DA5B7B" w:rsidRPr="003F0DBC" w:rsidRDefault="00DA5B7B" w:rsidP="00313034">
      <w:pPr>
        <w:pStyle w:val="FootnoteText"/>
        <w:jc w:val="both"/>
        <w:rPr>
          <w:spacing w:val="-4"/>
          <w:sz w:val="20"/>
          <w:szCs w:val="20"/>
          <w:lang w:val="en-US"/>
        </w:rPr>
      </w:pPr>
      <w:r w:rsidRPr="003F0DBC">
        <w:rPr>
          <w:rStyle w:val="FootnoteReference"/>
          <w:spacing w:val="-4"/>
          <w:sz w:val="20"/>
          <w:szCs w:val="20"/>
        </w:rPr>
        <w:footnoteRef/>
      </w:r>
      <w:r w:rsidRPr="003F0DBC">
        <w:rPr>
          <w:spacing w:val="-4"/>
          <w:sz w:val="20"/>
          <w:szCs w:val="20"/>
        </w:rPr>
        <w:t xml:space="preserve"> </w:t>
      </w:r>
      <w:r w:rsidRPr="003F0DBC">
        <w:rPr>
          <w:spacing w:val="-4"/>
          <w:sz w:val="20"/>
          <w:szCs w:val="20"/>
          <w:lang w:val="en-US"/>
        </w:rPr>
        <w:t>Trong đó: 434 tiêu chuẩn kỹ thuật, 452 quy chuẩn kỹ thuật có liên quan đến thực hiện TTHC sản xuất, kinh doanh.</w:t>
      </w:r>
    </w:p>
  </w:footnote>
  <w:footnote w:id="19">
    <w:p w14:paraId="1034E06C" w14:textId="0C6FEAF8" w:rsidR="001B17CF" w:rsidRPr="003F0DBC" w:rsidRDefault="001B17CF"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00C63D4E" w:rsidRPr="003F0DBC">
        <w:rPr>
          <w:sz w:val="20"/>
          <w:szCs w:val="20"/>
        </w:rPr>
        <w:t>V</w:t>
      </w:r>
      <w:r w:rsidR="00C63D4E" w:rsidRPr="003F0DBC">
        <w:rPr>
          <w:sz w:val="20"/>
          <w:szCs w:val="20"/>
          <w:lang w:val="en-US"/>
        </w:rPr>
        <w:t xml:space="preserve">ăn bản số </w:t>
      </w:r>
      <w:r w:rsidR="00CB11A1" w:rsidRPr="00CB11A1">
        <w:rPr>
          <w:sz w:val="20"/>
          <w:szCs w:val="20"/>
          <w:lang w:val="en-US"/>
        </w:rPr>
        <w:t>4785/VPCP-KSTT</w:t>
      </w:r>
      <w:r w:rsidR="00CB11A1">
        <w:rPr>
          <w:sz w:val="20"/>
          <w:szCs w:val="20"/>
          <w:lang w:val="en-US"/>
        </w:rPr>
        <w:t xml:space="preserve"> ngày 30/5/2025 gửi Bộ Tư pháp, số </w:t>
      </w:r>
      <w:r w:rsidR="00C63D4E" w:rsidRPr="003F0DBC">
        <w:rPr>
          <w:sz w:val="20"/>
          <w:szCs w:val="20"/>
          <w:lang w:val="en-US"/>
        </w:rPr>
        <w:t xml:space="preserve">4724/VPCP-KSTT ngày 28/5/2025 gửi Bộ Tài chính, </w:t>
      </w:r>
      <w:r w:rsidRPr="003F0DBC">
        <w:rPr>
          <w:sz w:val="20"/>
          <w:szCs w:val="20"/>
          <w:lang w:val="en-US"/>
        </w:rPr>
        <w:t>Văn bản số 4696/VPCP-KSTT ngày 28/5/2025 gửi Bộ Xây dựng</w:t>
      </w:r>
      <w:r w:rsidR="00C63D4E" w:rsidRPr="003F0DBC">
        <w:rPr>
          <w:sz w:val="20"/>
          <w:szCs w:val="20"/>
          <w:lang w:val="en-US"/>
        </w:rPr>
        <w:t xml:space="preserve"> và</w:t>
      </w:r>
      <w:r w:rsidRPr="003F0DBC">
        <w:rPr>
          <w:sz w:val="20"/>
          <w:szCs w:val="20"/>
          <w:lang w:val="en-US"/>
        </w:rPr>
        <w:t xml:space="preserve"> văn bản số 4631/VPCP-KSTT ngày 26/5/2025 gửi Ngân hàng Nhà nước Việt Nam</w:t>
      </w:r>
      <w:r w:rsidR="00C63D4E" w:rsidRPr="003F0DBC">
        <w:rPr>
          <w:sz w:val="20"/>
          <w:szCs w:val="20"/>
          <w:lang w:val="en-US"/>
        </w:rPr>
        <w:t>.</w:t>
      </w:r>
    </w:p>
  </w:footnote>
  <w:footnote w:id="20">
    <w:p w14:paraId="0B27557D" w14:textId="59D90E1D" w:rsidR="004973C2" w:rsidRPr="003F0DBC" w:rsidRDefault="004973C2"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Văn bản số 51/HĐTV ngày 07/5/2025</w:t>
      </w:r>
      <w:r w:rsidR="00903522" w:rsidRPr="003F0DBC">
        <w:rPr>
          <w:sz w:val="20"/>
          <w:szCs w:val="20"/>
          <w:lang w:val="en-US"/>
        </w:rPr>
        <w:t xml:space="preserve">. Các thành viên HĐTV đã có </w:t>
      </w:r>
      <w:r w:rsidR="00505876" w:rsidRPr="003F0DBC">
        <w:rPr>
          <w:sz w:val="20"/>
          <w:szCs w:val="20"/>
          <w:lang w:val="en-US"/>
        </w:rPr>
        <w:t xml:space="preserve">05 </w:t>
      </w:r>
      <w:r w:rsidR="00903522" w:rsidRPr="003F0DBC">
        <w:rPr>
          <w:sz w:val="20"/>
          <w:szCs w:val="20"/>
          <w:lang w:val="en-US"/>
        </w:rPr>
        <w:t xml:space="preserve">văn bản góp ý kiến đối với kết quả tổng hợp, thống kê TTHC, điều kiện đầu tư kinh doanh thuộc phạm vi quản lý của </w:t>
      </w:r>
      <w:r w:rsidR="007B169B" w:rsidRPr="003F0DBC">
        <w:rPr>
          <w:sz w:val="20"/>
          <w:szCs w:val="20"/>
          <w:lang w:val="en-US"/>
        </w:rPr>
        <w:t xml:space="preserve">15 </w:t>
      </w:r>
      <w:r w:rsidR="00903522" w:rsidRPr="003F0DBC">
        <w:rPr>
          <w:sz w:val="20"/>
          <w:szCs w:val="20"/>
          <w:lang w:val="en-US"/>
        </w:rPr>
        <w:t xml:space="preserve">bộ, cơ quan. </w:t>
      </w:r>
    </w:p>
  </w:footnote>
  <w:footnote w:id="21">
    <w:p w14:paraId="512F7CAB" w14:textId="77777777" w:rsidR="0018281A" w:rsidRPr="003F0DBC" w:rsidRDefault="0018281A"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Công văn </w:t>
      </w:r>
      <w:r w:rsidRPr="003F0DBC">
        <w:rPr>
          <w:sz w:val="20"/>
          <w:szCs w:val="20"/>
          <w:lang w:val="en-US"/>
        </w:rPr>
        <w:t>số 4695/VPCP-KSTT ngày 28/5/2025</w:t>
      </w:r>
    </w:p>
  </w:footnote>
  <w:footnote w:id="22">
    <w:p w14:paraId="78D5ADDE" w14:textId="1512FD8A"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Gồm: 02 Luật, 33 Nghị định, 03 Quyết định của TTgCP, 51 Thông tư.</w:t>
      </w:r>
    </w:p>
  </w:footnote>
  <w:footnote w:id="23">
    <w:p w14:paraId="788F4341" w14:textId="639CA89E"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 xml:space="preserve">Gồm: </w:t>
      </w:r>
      <w:r w:rsidR="001D182B" w:rsidRPr="003F0DBC">
        <w:rPr>
          <w:sz w:val="20"/>
          <w:szCs w:val="20"/>
          <w:lang w:val="en-US"/>
        </w:rPr>
        <w:t xml:space="preserve">23 </w:t>
      </w:r>
      <w:r w:rsidRPr="003F0DBC">
        <w:rPr>
          <w:sz w:val="20"/>
          <w:szCs w:val="20"/>
          <w:lang w:val="en-US"/>
        </w:rPr>
        <w:t xml:space="preserve">Luật, </w:t>
      </w:r>
      <w:r w:rsidR="001D182B" w:rsidRPr="003F0DBC">
        <w:rPr>
          <w:sz w:val="20"/>
          <w:szCs w:val="20"/>
          <w:lang w:val="en-US"/>
        </w:rPr>
        <w:t xml:space="preserve">32 </w:t>
      </w:r>
      <w:r w:rsidRPr="003F0DBC">
        <w:rPr>
          <w:sz w:val="20"/>
          <w:szCs w:val="20"/>
          <w:lang w:val="en-US"/>
        </w:rPr>
        <w:t>Nghị định, 06 QĐ của TTgCP, 39 Thông tư, TTLT</w:t>
      </w:r>
    </w:p>
  </w:footnote>
  <w:footnote w:id="24">
    <w:p w14:paraId="64F043E3" w14:textId="31CD25D8"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Gồm: 08 Luật, 61 Nghị định, 02 Quyết định, 217 Thông tư.</w:t>
      </w:r>
    </w:p>
  </w:footnote>
  <w:footnote w:id="25">
    <w:p w14:paraId="6D9CA49A" w14:textId="27FCF27F"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0</w:t>
      </w:r>
      <w:r w:rsidR="00435E7D" w:rsidRPr="003F0DBC">
        <w:rPr>
          <w:sz w:val="20"/>
          <w:szCs w:val="20"/>
          <w:lang w:val="en-US"/>
        </w:rPr>
        <w:t>5</w:t>
      </w:r>
      <w:r w:rsidRPr="003F0DBC">
        <w:rPr>
          <w:sz w:val="20"/>
          <w:szCs w:val="20"/>
          <w:lang w:val="en-US"/>
        </w:rPr>
        <w:t xml:space="preserve"> bộ</w:t>
      </w:r>
      <w:r w:rsidR="00435E7D" w:rsidRPr="003F0DBC">
        <w:rPr>
          <w:sz w:val="20"/>
          <w:szCs w:val="20"/>
          <w:lang w:val="en-US"/>
        </w:rPr>
        <w:t>, cơ quan</w:t>
      </w:r>
      <w:r w:rsidRPr="003F0DBC">
        <w:rPr>
          <w:sz w:val="20"/>
          <w:szCs w:val="20"/>
          <w:lang w:val="en-US"/>
        </w:rPr>
        <w:t xml:space="preserve"> gồm: Y tế, Ngoại giao, Tư pháp, Nội vụ</w:t>
      </w:r>
      <w:r w:rsidR="00435E7D" w:rsidRPr="003F0DBC">
        <w:rPr>
          <w:sz w:val="20"/>
          <w:szCs w:val="20"/>
          <w:lang w:val="en-US"/>
        </w:rPr>
        <w:t>, Ngân hàng Nhà nước Việt Nam</w:t>
      </w:r>
    </w:p>
  </w:footnote>
  <w:footnote w:id="26">
    <w:p w14:paraId="115971CF" w14:textId="3B2E51B3"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0</w:t>
      </w:r>
      <w:r w:rsidR="00055B3F" w:rsidRPr="003F0DBC">
        <w:rPr>
          <w:sz w:val="20"/>
          <w:szCs w:val="20"/>
          <w:lang w:val="en-US"/>
        </w:rPr>
        <w:t>7</w:t>
      </w:r>
      <w:r w:rsidRPr="003F0DBC">
        <w:rPr>
          <w:sz w:val="20"/>
          <w:szCs w:val="20"/>
          <w:lang w:val="en-US"/>
        </w:rPr>
        <w:t xml:space="preserve"> bộ, cơ quan gồm: Công an, Quốc phòng, Khoa học và Công nghệ, Tài chính, Nông nghiệp và Môi trường, Văn hóa, Thể thao và Du lịch</w:t>
      </w:r>
      <w:r w:rsidR="00325765" w:rsidRPr="003F0DBC">
        <w:rPr>
          <w:sz w:val="20"/>
          <w:szCs w:val="20"/>
          <w:lang w:val="en-US"/>
        </w:rPr>
        <w:t xml:space="preserve"> và</w:t>
      </w:r>
      <w:r w:rsidRPr="003F0DBC">
        <w:rPr>
          <w:sz w:val="20"/>
          <w:szCs w:val="20"/>
          <w:lang w:val="en-US"/>
        </w:rPr>
        <w:t xml:space="preserve"> Xây dựng.</w:t>
      </w:r>
    </w:p>
  </w:footnote>
  <w:footnote w:id="27">
    <w:p w14:paraId="2AF6B5D9" w14:textId="7F0A155F"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Gồm: 0</w:t>
      </w:r>
      <w:r w:rsidR="00B40A4D" w:rsidRPr="003F0DBC">
        <w:rPr>
          <w:sz w:val="20"/>
          <w:szCs w:val="20"/>
        </w:rPr>
        <w:t>7</w:t>
      </w:r>
      <w:r w:rsidRPr="003F0DBC">
        <w:rPr>
          <w:sz w:val="20"/>
          <w:szCs w:val="20"/>
        </w:rPr>
        <w:t xml:space="preserve"> Luật, </w:t>
      </w:r>
      <w:r w:rsidR="00B40A4D" w:rsidRPr="003F0DBC">
        <w:rPr>
          <w:sz w:val="20"/>
          <w:szCs w:val="20"/>
        </w:rPr>
        <w:t>17</w:t>
      </w:r>
      <w:r w:rsidRPr="003F0DBC">
        <w:rPr>
          <w:sz w:val="20"/>
          <w:szCs w:val="20"/>
        </w:rPr>
        <w:t xml:space="preserve"> Nghị định, </w:t>
      </w:r>
      <w:r w:rsidR="00B40A4D" w:rsidRPr="003F0DBC">
        <w:rPr>
          <w:sz w:val="20"/>
          <w:szCs w:val="20"/>
        </w:rPr>
        <w:t>10</w:t>
      </w:r>
      <w:r w:rsidRPr="003F0DBC">
        <w:rPr>
          <w:sz w:val="20"/>
          <w:szCs w:val="20"/>
        </w:rPr>
        <w:t xml:space="preserve"> Thông tư.</w:t>
      </w:r>
    </w:p>
  </w:footnote>
  <w:footnote w:id="28">
    <w:p w14:paraId="6C9F64C2" w14:textId="1F79AE09"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Theo Bộ chỉ số phục vụ người dân, doanh nghiệp trên Cổng DVCQG tại thời điểm ngày 27</w:t>
      </w:r>
      <w:r w:rsidR="009C0256" w:rsidRPr="003F0DBC">
        <w:rPr>
          <w:sz w:val="20"/>
          <w:szCs w:val="20"/>
        </w:rPr>
        <w:t>/</w:t>
      </w:r>
      <w:r w:rsidRPr="003F0DBC">
        <w:rPr>
          <w:sz w:val="20"/>
          <w:szCs w:val="20"/>
        </w:rPr>
        <w:t>5</w:t>
      </w:r>
      <w:r w:rsidR="009C0256" w:rsidRPr="003F0DBC">
        <w:rPr>
          <w:sz w:val="20"/>
          <w:szCs w:val="20"/>
        </w:rPr>
        <w:t>/</w:t>
      </w:r>
      <w:r w:rsidRPr="003F0DBC">
        <w:rPr>
          <w:sz w:val="20"/>
          <w:szCs w:val="20"/>
        </w:rPr>
        <w:t>2025</w:t>
      </w:r>
    </w:p>
  </w:footnote>
  <w:footnote w:id="29">
    <w:p w14:paraId="2161289A" w14:textId="77777777" w:rsidR="00DA5B7B" w:rsidRPr="003F0DBC" w:rsidRDefault="00DA5B7B" w:rsidP="00313034">
      <w:pPr>
        <w:pStyle w:val="FootnoteText"/>
        <w:jc w:val="both"/>
        <w:rPr>
          <w:sz w:val="20"/>
          <w:szCs w:val="20"/>
        </w:rPr>
      </w:pPr>
      <w:r w:rsidRPr="003F0DBC">
        <w:rPr>
          <w:rStyle w:val="FootnoteReference"/>
          <w:sz w:val="20"/>
          <w:szCs w:val="20"/>
        </w:rPr>
        <w:footnoteRef/>
      </w:r>
      <w:r w:rsidRPr="003F0DBC">
        <w:rPr>
          <w:sz w:val="20"/>
          <w:szCs w:val="20"/>
        </w:rPr>
        <w:t xml:space="preserve"> Nghị quyết số 108/NQ-CP ngày 10/7/2024 và Nghị quyết số 188/NQ-CP ngày 11/10/2024 của Chính phủ.</w:t>
      </w:r>
    </w:p>
  </w:footnote>
  <w:footnote w:id="30">
    <w:p w14:paraId="275F70EA" w14:textId="77777777" w:rsidR="00DA5B7B" w:rsidRPr="003F0DBC" w:rsidRDefault="00DA5B7B" w:rsidP="00313034">
      <w:pPr>
        <w:pStyle w:val="FootnoteText"/>
        <w:jc w:val="both"/>
        <w:rPr>
          <w:sz w:val="20"/>
          <w:szCs w:val="20"/>
          <w:lang w:val="en-US"/>
        </w:rPr>
      </w:pPr>
      <w:r w:rsidRPr="003F0DBC">
        <w:rPr>
          <w:rStyle w:val="FootnoteReference"/>
          <w:sz w:val="20"/>
          <w:szCs w:val="20"/>
        </w:rPr>
        <w:footnoteRef/>
      </w:r>
      <w:r w:rsidRPr="003F0DBC">
        <w:rPr>
          <w:sz w:val="20"/>
          <w:szCs w:val="20"/>
        </w:rPr>
        <w:t xml:space="preserve"> Tp. Hồ Chí Minh chưa ban hành quyết định.</w:t>
      </w:r>
    </w:p>
  </w:footnote>
  <w:footnote w:id="31">
    <w:p w14:paraId="7694C709" w14:textId="77777777" w:rsidR="00DA5B7B" w:rsidRPr="003F0DBC" w:rsidRDefault="00DA5B7B" w:rsidP="00313034">
      <w:pPr>
        <w:pStyle w:val="FootnoteText"/>
        <w:jc w:val="both"/>
        <w:rPr>
          <w:sz w:val="20"/>
          <w:szCs w:val="20"/>
        </w:rPr>
      </w:pPr>
      <w:r w:rsidRPr="003F0DBC">
        <w:rPr>
          <w:rStyle w:val="FootnoteReference"/>
          <w:sz w:val="20"/>
          <w:szCs w:val="20"/>
        </w:rPr>
        <w:footnoteRef/>
      </w:r>
      <w:r w:rsidRPr="003F0DBC">
        <w:rPr>
          <w:sz w:val="20"/>
          <w:szCs w:val="20"/>
        </w:rPr>
        <w:t xml:space="preserve"> Công văn số 5343/VPCP-KSTT ngày 27/7/2024</w:t>
      </w:r>
    </w:p>
  </w:footnote>
  <w:footnote w:id="32">
    <w:p w14:paraId="318437FC" w14:textId="5100B3F6" w:rsidR="00754A50" w:rsidRPr="003F0DBC" w:rsidRDefault="00754A50">
      <w:pPr>
        <w:pStyle w:val="FootnoteText"/>
        <w:jc w:val="both"/>
        <w:rPr>
          <w:sz w:val="20"/>
          <w:szCs w:val="20"/>
          <w:lang w:val="en-US"/>
        </w:rPr>
      </w:pPr>
      <w:r w:rsidRPr="003F0DBC">
        <w:rPr>
          <w:rStyle w:val="FootnoteReference"/>
          <w:sz w:val="20"/>
          <w:szCs w:val="20"/>
        </w:rPr>
        <w:footnoteRef/>
      </w:r>
      <w:r w:rsidRPr="003F0DBC">
        <w:rPr>
          <w:sz w:val="20"/>
          <w:szCs w:val="20"/>
        </w:rPr>
        <w:t xml:space="preserve"> Gồm: </w:t>
      </w:r>
      <w:r w:rsidR="0022527A" w:rsidRPr="003F0DBC">
        <w:rPr>
          <w:sz w:val="20"/>
          <w:szCs w:val="20"/>
        </w:rPr>
        <w:t>Y tế, Khoa học và công nghệ, Tài chính</w:t>
      </w:r>
    </w:p>
  </w:footnote>
  <w:footnote w:id="33">
    <w:p w14:paraId="24A5C4E6" w14:textId="1A16576E" w:rsidR="00DA5B7B" w:rsidRPr="003F0DBC" w:rsidRDefault="00DA5B7B">
      <w:pPr>
        <w:pStyle w:val="FootnoteText"/>
        <w:jc w:val="both"/>
        <w:rPr>
          <w:spacing w:val="-4"/>
          <w:sz w:val="20"/>
          <w:szCs w:val="20"/>
          <w:lang w:val="en-US"/>
        </w:rPr>
      </w:pPr>
      <w:r w:rsidRPr="003F0DBC">
        <w:rPr>
          <w:rStyle w:val="FootnoteReference"/>
          <w:spacing w:val="-4"/>
          <w:sz w:val="20"/>
          <w:szCs w:val="20"/>
        </w:rPr>
        <w:footnoteRef/>
      </w:r>
      <w:r w:rsidRPr="003F0DBC">
        <w:rPr>
          <w:spacing w:val="-4"/>
          <w:sz w:val="20"/>
          <w:szCs w:val="20"/>
        </w:rPr>
        <w:t xml:space="preserve"> </w:t>
      </w:r>
      <w:r w:rsidRPr="003F0DBC">
        <w:rPr>
          <w:spacing w:val="-4"/>
          <w:sz w:val="20"/>
          <w:szCs w:val="20"/>
          <w:lang w:val="en-US"/>
        </w:rPr>
        <w:t xml:space="preserve">Trong tháng 5/2025: Thông tấn xã Việt Nam đã thực hiện 230 tin, bài, ảnh, videoclip tuyên truyền. Một số tin, bài nổi bật như: Công điện của Thủ tướng Chính phủ yêu cầu cắt giảm điều kiện đầu tư kinh doanh, đơn giản hóa TTHC; Chính phủ ban </w:t>
      </w:r>
      <w:r w:rsidR="009A2295" w:rsidRPr="003F0DBC">
        <w:rPr>
          <w:spacing w:val="-4"/>
          <w:sz w:val="20"/>
          <w:szCs w:val="20"/>
          <w:lang w:val="en-US"/>
        </w:rPr>
        <w:t xml:space="preserve">hành </w:t>
      </w:r>
      <w:r w:rsidRPr="003F0DBC">
        <w:rPr>
          <w:spacing w:val="-4"/>
          <w:sz w:val="20"/>
          <w:szCs w:val="20"/>
          <w:lang w:val="en-US"/>
        </w:rPr>
        <w:t>Nghị định số 97/2025/NĐ-CP quy định cơ chế, chính sách ưu đãi đối với Trung tâm Đổi mới sáng tạo Quốc gia; Cà Mau quyết tâm chính trị cao trong thực hiện Đề án chuyển đổi số….</w:t>
      </w:r>
    </w:p>
  </w:footnote>
  <w:footnote w:id="34">
    <w:p w14:paraId="34F44DF9" w14:textId="1E409D05"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Một số tin, bài nổi bật như: Nỗ lực nhìn xa của Việt Nam khi tiến hành cải cách hành chính; Sáp nhập tỉnh thành, cuộc cách mạng mới của Việt Nam; Những kế hoạch đang khơi dây hi vọng trong người dân và doanh nghiệp…</w:t>
      </w:r>
    </w:p>
  </w:footnote>
  <w:footnote w:id="35">
    <w:p w14:paraId="067F6B2C" w14:textId="6CD8F38E"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Một số tin, bài nổi bật như: Bất cập trong hoạt động kiểm định, đăng kiểm; Hành lang pháp lý để vận hành chính quyền địa phương 2 cấp không bị vướng;…</w:t>
      </w:r>
    </w:p>
  </w:footnote>
  <w:footnote w:id="36">
    <w:p w14:paraId="276B2427" w14:textId="4C29710F"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Tỷ lệ hồ sơ trực tuyến và tỷ lệ số hóa hồ sơ, kết quả giải quyết TTHC tại các địa phương tăng lần lượt 9,06% và </w:t>
      </w:r>
      <w:r w:rsidRPr="003F0DBC">
        <w:rPr>
          <w:spacing w:val="-10"/>
          <w:sz w:val="20"/>
          <w:szCs w:val="20"/>
        </w:rPr>
        <w:t>13,76% so với thời điểm cùng kỳ năm 2024.</w:t>
      </w:r>
    </w:p>
  </w:footnote>
  <w:footnote w:id="37">
    <w:p w14:paraId="307717BC" w14:textId="1058711D" w:rsidR="00DA5B7B" w:rsidRPr="00313034" w:rsidRDefault="00DA5B7B">
      <w:pPr>
        <w:pStyle w:val="FootnoteText"/>
        <w:jc w:val="both"/>
        <w:rPr>
          <w:sz w:val="20"/>
          <w:szCs w:val="20"/>
        </w:rPr>
      </w:pPr>
      <w:r w:rsidRPr="003F0DBC">
        <w:rPr>
          <w:rStyle w:val="FootnoteReference"/>
          <w:sz w:val="20"/>
          <w:szCs w:val="20"/>
        </w:rPr>
        <w:footnoteRef/>
      </w:r>
      <w:r w:rsidRPr="003F0DBC">
        <w:rPr>
          <w:sz w:val="20"/>
          <w:szCs w:val="20"/>
        </w:rPr>
        <w:t xml:space="preserve"> </w:t>
      </w:r>
      <w:r w:rsidR="00D55E2C" w:rsidRPr="003F0DBC">
        <w:rPr>
          <w:sz w:val="20"/>
          <w:szCs w:val="20"/>
        </w:rPr>
        <w:t>Văn phòng Chính phủ đã có các văn bản</w:t>
      </w:r>
      <w:r w:rsidR="000837A1" w:rsidRPr="00313034">
        <w:rPr>
          <w:sz w:val="20"/>
          <w:szCs w:val="20"/>
        </w:rPr>
        <w:t xml:space="preserve"> góp ý như: </w:t>
      </w:r>
      <w:r w:rsidR="000C763F" w:rsidRPr="003F0DBC">
        <w:rPr>
          <w:sz w:val="20"/>
          <w:szCs w:val="20"/>
        </w:rPr>
        <w:t>V</w:t>
      </w:r>
      <w:r w:rsidR="000C763F" w:rsidRPr="003F0DBC">
        <w:rPr>
          <w:sz w:val="20"/>
          <w:szCs w:val="20"/>
          <w:lang w:val="en-US"/>
        </w:rPr>
        <w:t xml:space="preserve">ăn bản số </w:t>
      </w:r>
      <w:r w:rsidR="000C763F" w:rsidRPr="00CB11A1">
        <w:rPr>
          <w:sz w:val="20"/>
          <w:szCs w:val="20"/>
          <w:lang w:val="en-US"/>
        </w:rPr>
        <w:t>4785/VPCP-KSTT</w:t>
      </w:r>
      <w:r w:rsidR="000C763F">
        <w:rPr>
          <w:sz w:val="20"/>
          <w:szCs w:val="20"/>
          <w:lang w:val="en-US"/>
        </w:rPr>
        <w:t xml:space="preserve"> ngày 30/5/2025 gửi Bộ Tư pháp, số </w:t>
      </w:r>
      <w:r w:rsidR="000C763F" w:rsidRPr="003F0DBC">
        <w:rPr>
          <w:sz w:val="20"/>
          <w:szCs w:val="20"/>
          <w:lang w:val="en-US"/>
        </w:rPr>
        <w:t>4724/VPCP-KSTT ngày 28/5/2025 gửi Bộ Tài chính, Văn bản số 4696/VPCP-KSTT ngày 28/5/2025 gửi Bộ Xây dựng và văn bản số 4631/VPCP-KSTT ngày 26/5/2025 gửi Ngân hàng Nhà nước Việt Nam.</w:t>
      </w:r>
      <w:bookmarkStart w:id="13" w:name="_GoBack"/>
      <w:bookmarkEnd w:id="13"/>
    </w:p>
  </w:footnote>
  <w:footnote w:id="38">
    <w:p w14:paraId="4BC6BA62" w14:textId="3B846DF6" w:rsidR="00754A50" w:rsidRPr="003F0DBC" w:rsidRDefault="00754A50">
      <w:pPr>
        <w:pStyle w:val="FootnoteText"/>
        <w:jc w:val="both"/>
        <w:rPr>
          <w:sz w:val="20"/>
          <w:szCs w:val="20"/>
          <w:lang w:val="en-US"/>
        </w:rPr>
      </w:pPr>
      <w:r w:rsidRPr="003F0DBC">
        <w:rPr>
          <w:rStyle w:val="FootnoteReference"/>
          <w:sz w:val="20"/>
          <w:szCs w:val="20"/>
        </w:rPr>
        <w:footnoteRef/>
      </w:r>
      <w:r w:rsidRPr="003F0DBC">
        <w:rPr>
          <w:sz w:val="20"/>
          <w:szCs w:val="20"/>
        </w:rPr>
        <w:t xml:space="preserve"> Còn 307 TTHC cần tiếp tục thực hiện phân cấp; còn 0</w:t>
      </w:r>
      <w:r w:rsidR="007C4B72" w:rsidRPr="003F0DBC">
        <w:rPr>
          <w:sz w:val="20"/>
          <w:szCs w:val="20"/>
        </w:rPr>
        <w:t>7</w:t>
      </w:r>
      <w:r w:rsidRPr="003F0DBC">
        <w:rPr>
          <w:sz w:val="20"/>
          <w:szCs w:val="20"/>
        </w:rPr>
        <w:t xml:space="preserve"> cơ quan (Gồm: Công an, Quốc phòng, Khoa học và Công nghệ, Tài chính, Nông nghiệp và Môi trường, Văn hóa, Thể thao và Du lịch, Xây dựng) chưa thực thi phương án cắt giảm, đơn giản hóa TTHC liên quan đến Phiếu lý lịch tư pháp</w:t>
      </w:r>
      <w:r w:rsidR="00105901" w:rsidRPr="003F0DBC">
        <w:rPr>
          <w:sz w:val="20"/>
          <w:szCs w:val="20"/>
        </w:rPr>
        <w:t>.</w:t>
      </w:r>
    </w:p>
  </w:footnote>
  <w:footnote w:id="39">
    <w:p w14:paraId="3328AB99" w14:textId="2C0121AA" w:rsidR="00DA5B7B" w:rsidRPr="003F0DBC" w:rsidRDefault="00DA5B7B">
      <w:pPr>
        <w:pStyle w:val="FootnoteText"/>
        <w:jc w:val="both"/>
        <w:rPr>
          <w:spacing w:val="-2"/>
          <w:sz w:val="20"/>
          <w:szCs w:val="20"/>
          <w:lang w:val="en-US"/>
        </w:rPr>
      </w:pPr>
      <w:r w:rsidRPr="003F0DBC">
        <w:rPr>
          <w:rStyle w:val="FootnoteReference"/>
          <w:spacing w:val="-2"/>
          <w:sz w:val="20"/>
          <w:szCs w:val="20"/>
        </w:rPr>
        <w:footnoteRef/>
      </w:r>
      <w:r w:rsidRPr="003F0DBC">
        <w:rPr>
          <w:rStyle w:val="FootnoteReference"/>
          <w:spacing w:val="-2"/>
          <w:sz w:val="20"/>
          <w:szCs w:val="20"/>
        </w:rPr>
        <w:t xml:space="preserve"> </w:t>
      </w:r>
      <w:r w:rsidRPr="003F0DBC">
        <w:rPr>
          <w:spacing w:val="-2"/>
          <w:sz w:val="20"/>
          <w:szCs w:val="20"/>
          <w:lang w:val="en-US"/>
        </w:rPr>
        <w:t>Tỷ lệ khai thác, sử dụng lại thông tin dữ liệu số hóa tại các bộ, ngành đạt 2,</w:t>
      </w:r>
      <w:r w:rsidR="009A2295" w:rsidRPr="003F0DBC">
        <w:rPr>
          <w:spacing w:val="-2"/>
          <w:sz w:val="20"/>
          <w:szCs w:val="20"/>
          <w:lang w:val="en-US"/>
        </w:rPr>
        <w:t>56</w:t>
      </w:r>
      <w:r w:rsidRPr="003F0DBC">
        <w:rPr>
          <w:spacing w:val="-2"/>
          <w:sz w:val="20"/>
          <w:szCs w:val="20"/>
          <w:lang w:val="en-US"/>
        </w:rPr>
        <w:t xml:space="preserve">% và tại các địa phương đạt </w:t>
      </w:r>
      <w:r w:rsidR="009A2295" w:rsidRPr="003F0DBC">
        <w:rPr>
          <w:spacing w:val="-2"/>
          <w:sz w:val="20"/>
          <w:szCs w:val="20"/>
          <w:lang w:val="en-US"/>
        </w:rPr>
        <w:t>41,84</w:t>
      </w:r>
      <w:r w:rsidRPr="003F0DBC">
        <w:rPr>
          <w:spacing w:val="-2"/>
          <w:sz w:val="20"/>
          <w:szCs w:val="20"/>
          <w:lang w:val="en-US"/>
        </w:rPr>
        <w:t>%.</w:t>
      </w:r>
    </w:p>
  </w:footnote>
  <w:footnote w:id="40">
    <w:p w14:paraId="6C948842" w14:textId="23CDC5A1" w:rsidR="00DA5B7B" w:rsidRPr="003F0DBC" w:rsidRDefault="00DA5B7B">
      <w:pPr>
        <w:pStyle w:val="FootnoteText"/>
        <w:jc w:val="both"/>
        <w:rPr>
          <w:sz w:val="20"/>
          <w:szCs w:val="20"/>
          <w:lang w:val="en-US"/>
        </w:rPr>
      </w:pPr>
      <w:r w:rsidRPr="003F0DBC">
        <w:rPr>
          <w:rStyle w:val="FootnoteReference"/>
          <w:sz w:val="20"/>
          <w:szCs w:val="20"/>
        </w:rPr>
        <w:footnoteRef/>
      </w:r>
      <w:r w:rsidRPr="003F0DBC">
        <w:rPr>
          <w:sz w:val="20"/>
          <w:szCs w:val="20"/>
        </w:rPr>
        <w:t xml:space="preserve"> </w:t>
      </w:r>
      <w:r w:rsidRPr="003F0DBC">
        <w:rPr>
          <w:sz w:val="20"/>
          <w:szCs w:val="20"/>
          <w:lang w:val="en-US"/>
        </w:rPr>
        <w:t>Trong tháng 5, tỷ lệ TTHC cập nhật, công bố, công khai chậm muộn là 100%</w:t>
      </w:r>
    </w:p>
  </w:footnote>
  <w:footnote w:id="41">
    <w:p w14:paraId="06631796" w14:textId="77777777" w:rsidR="00DA5B7B" w:rsidRPr="003F0DBC" w:rsidRDefault="00DA5B7B">
      <w:pPr>
        <w:pStyle w:val="FootnoteText"/>
        <w:jc w:val="both"/>
        <w:rPr>
          <w:sz w:val="20"/>
          <w:szCs w:val="20"/>
        </w:rPr>
      </w:pPr>
      <w:r w:rsidRPr="003F0DBC">
        <w:rPr>
          <w:rStyle w:val="FootnoteReference"/>
          <w:sz w:val="20"/>
          <w:szCs w:val="20"/>
        </w:rPr>
        <w:footnoteRef/>
      </w:r>
      <w:r w:rsidRPr="003F0DBC">
        <w:rPr>
          <w:sz w:val="20"/>
          <w:szCs w:val="20"/>
        </w:rPr>
        <w:t xml:space="preserve"> Ví dụ: các dịch vụ công trực tuyến lĩnh vực lao động đang tạm thời dừng cung cấp do chưa hoàn thành nâng cấp Hệ thống sau khi sáp nhập Bộ,...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521DA" w14:textId="65D9059D" w:rsidR="00DA5B7B" w:rsidRPr="00B209BD" w:rsidRDefault="00DA5B7B" w:rsidP="008920E0">
    <w:pPr>
      <w:pBdr>
        <w:top w:val="nil"/>
        <w:left w:val="nil"/>
        <w:bottom w:val="nil"/>
        <w:right w:val="nil"/>
        <w:between w:val="nil"/>
      </w:pBdr>
      <w:tabs>
        <w:tab w:val="center" w:pos="4680"/>
        <w:tab w:val="right" w:pos="9360"/>
      </w:tabs>
      <w:spacing w:before="120" w:line="340" w:lineRule="exact"/>
      <w:jc w:val="center"/>
      <w:rPr>
        <w:color w:val="000000"/>
        <w:sz w:val="24"/>
        <w:szCs w:val="24"/>
      </w:rPr>
    </w:pPr>
    <w:r w:rsidRPr="00B209BD">
      <w:rPr>
        <w:color w:val="000000"/>
        <w:sz w:val="24"/>
        <w:szCs w:val="24"/>
      </w:rPr>
      <w:fldChar w:fldCharType="begin"/>
    </w:r>
    <w:r w:rsidRPr="00B209BD">
      <w:rPr>
        <w:color w:val="000000"/>
        <w:sz w:val="24"/>
        <w:szCs w:val="24"/>
      </w:rPr>
      <w:instrText>PAGE</w:instrText>
    </w:r>
    <w:r w:rsidRPr="00B209BD">
      <w:rPr>
        <w:color w:val="000000"/>
        <w:sz w:val="24"/>
        <w:szCs w:val="24"/>
      </w:rPr>
      <w:fldChar w:fldCharType="separate"/>
    </w:r>
    <w:r>
      <w:rPr>
        <w:noProof/>
        <w:color w:val="000000"/>
        <w:sz w:val="24"/>
        <w:szCs w:val="24"/>
      </w:rPr>
      <w:t>8</w:t>
    </w:r>
    <w:r w:rsidRPr="00B209BD">
      <w:rPr>
        <w:color w:val="000000"/>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37486" w14:textId="77777777" w:rsidR="00DA5B7B" w:rsidRDefault="00DA5B7B">
    <w:pPr>
      <w:pBdr>
        <w:top w:val="nil"/>
        <w:left w:val="nil"/>
        <w:bottom w:val="nil"/>
        <w:right w:val="nil"/>
        <w:between w:val="nil"/>
      </w:pBdr>
      <w:tabs>
        <w:tab w:val="center" w:pos="4680"/>
        <w:tab w:val="right" w:pos="9360"/>
      </w:tabs>
      <w:jc w:val="center"/>
      <w:rPr>
        <w:color w:val="000000"/>
      </w:rPr>
    </w:pPr>
  </w:p>
  <w:p w14:paraId="70F9FEF6" w14:textId="77777777" w:rsidR="00DA5B7B" w:rsidRDefault="00DA5B7B">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B2D99"/>
    <w:multiLevelType w:val="hybridMultilevel"/>
    <w:tmpl w:val="78606192"/>
    <w:lvl w:ilvl="0" w:tplc="9DCAC9B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0605B98"/>
    <w:multiLevelType w:val="hybridMultilevel"/>
    <w:tmpl w:val="DAD25586"/>
    <w:lvl w:ilvl="0" w:tplc="65C8160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35D7FA9"/>
    <w:multiLevelType w:val="hybridMultilevel"/>
    <w:tmpl w:val="C6E2667A"/>
    <w:lvl w:ilvl="0" w:tplc="61F8BC78">
      <w:start w:val="1"/>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196852"/>
    <w:multiLevelType w:val="hybridMultilevel"/>
    <w:tmpl w:val="256AA53A"/>
    <w:lvl w:ilvl="0" w:tplc="1268920E">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86A47D7"/>
    <w:multiLevelType w:val="hybridMultilevel"/>
    <w:tmpl w:val="2DD0D212"/>
    <w:lvl w:ilvl="0" w:tplc="43627B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1D5A31CE"/>
    <w:multiLevelType w:val="hybridMultilevel"/>
    <w:tmpl w:val="45CE5EA4"/>
    <w:lvl w:ilvl="0" w:tplc="1C3CA3E6">
      <w:start w:val="1"/>
      <w:numFmt w:val="decimal"/>
      <w:lvlText w:val="(%1)"/>
      <w:lvlJc w:val="left"/>
      <w:pPr>
        <w:ind w:left="1104" w:hanging="38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6F6528"/>
    <w:multiLevelType w:val="multilevel"/>
    <w:tmpl w:val="1308680A"/>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B2E39CC"/>
    <w:multiLevelType w:val="hybridMultilevel"/>
    <w:tmpl w:val="EE584D22"/>
    <w:lvl w:ilvl="0" w:tplc="954ACE7C">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2E1063D5"/>
    <w:multiLevelType w:val="hybridMultilevel"/>
    <w:tmpl w:val="08D8B2BC"/>
    <w:lvl w:ilvl="0" w:tplc="21C04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21E6372"/>
    <w:multiLevelType w:val="hybridMultilevel"/>
    <w:tmpl w:val="8A6CF972"/>
    <w:lvl w:ilvl="0" w:tplc="02C248EA">
      <w:start w:val="3"/>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46056CC1"/>
    <w:multiLevelType w:val="hybridMultilevel"/>
    <w:tmpl w:val="25CC6CAE"/>
    <w:lvl w:ilvl="0" w:tplc="64E0623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F550FC2"/>
    <w:multiLevelType w:val="hybridMultilevel"/>
    <w:tmpl w:val="A4A84FCC"/>
    <w:lvl w:ilvl="0" w:tplc="540E11D6">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52C7064"/>
    <w:multiLevelType w:val="hybridMultilevel"/>
    <w:tmpl w:val="4520464C"/>
    <w:lvl w:ilvl="0" w:tplc="1BC010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8"/>
  </w:num>
  <w:num w:numId="3">
    <w:abstractNumId w:val="10"/>
  </w:num>
  <w:num w:numId="4">
    <w:abstractNumId w:val="12"/>
  </w:num>
  <w:num w:numId="5">
    <w:abstractNumId w:val="1"/>
  </w:num>
  <w:num w:numId="6">
    <w:abstractNumId w:val="9"/>
  </w:num>
  <w:num w:numId="7">
    <w:abstractNumId w:val="0"/>
  </w:num>
  <w:num w:numId="8">
    <w:abstractNumId w:val="2"/>
  </w:num>
  <w:num w:numId="9">
    <w:abstractNumId w:val="3"/>
  </w:num>
  <w:num w:numId="10">
    <w:abstractNumId w:val="7"/>
  </w:num>
  <w:num w:numId="11">
    <w:abstractNumId w:val="4"/>
  </w:num>
  <w:num w:numId="12">
    <w:abstractNumId w:val="11"/>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372"/>
    <w:rsid w:val="00000726"/>
    <w:rsid w:val="00000D92"/>
    <w:rsid w:val="00000E6D"/>
    <w:rsid w:val="00000FBC"/>
    <w:rsid w:val="0000134C"/>
    <w:rsid w:val="00001765"/>
    <w:rsid w:val="00004703"/>
    <w:rsid w:val="00004BAB"/>
    <w:rsid w:val="000057DB"/>
    <w:rsid w:val="00005884"/>
    <w:rsid w:val="0000597B"/>
    <w:rsid w:val="00006A56"/>
    <w:rsid w:val="00006C95"/>
    <w:rsid w:val="00010469"/>
    <w:rsid w:val="00011B2D"/>
    <w:rsid w:val="00011C4C"/>
    <w:rsid w:val="00011D20"/>
    <w:rsid w:val="00014583"/>
    <w:rsid w:val="0001460E"/>
    <w:rsid w:val="00014642"/>
    <w:rsid w:val="00014BA6"/>
    <w:rsid w:val="00016727"/>
    <w:rsid w:val="000167BA"/>
    <w:rsid w:val="00016B76"/>
    <w:rsid w:val="000175EC"/>
    <w:rsid w:val="000203F9"/>
    <w:rsid w:val="00020A3B"/>
    <w:rsid w:val="0002107D"/>
    <w:rsid w:val="00021CAA"/>
    <w:rsid w:val="000231DF"/>
    <w:rsid w:val="000235AD"/>
    <w:rsid w:val="00023E4F"/>
    <w:rsid w:val="0002430B"/>
    <w:rsid w:val="00027F94"/>
    <w:rsid w:val="00027FDB"/>
    <w:rsid w:val="00031A32"/>
    <w:rsid w:val="00032DAF"/>
    <w:rsid w:val="00033766"/>
    <w:rsid w:val="00034664"/>
    <w:rsid w:val="00034886"/>
    <w:rsid w:val="00034B8F"/>
    <w:rsid w:val="00035B95"/>
    <w:rsid w:val="00036030"/>
    <w:rsid w:val="000360E8"/>
    <w:rsid w:val="000369F5"/>
    <w:rsid w:val="000402F3"/>
    <w:rsid w:val="00040A1C"/>
    <w:rsid w:val="000413E7"/>
    <w:rsid w:val="0004144E"/>
    <w:rsid w:val="00042330"/>
    <w:rsid w:val="00042868"/>
    <w:rsid w:val="000434E4"/>
    <w:rsid w:val="0004408D"/>
    <w:rsid w:val="00044E4D"/>
    <w:rsid w:val="00044F2C"/>
    <w:rsid w:val="0004585F"/>
    <w:rsid w:val="00045BE8"/>
    <w:rsid w:val="00046B77"/>
    <w:rsid w:val="00052D83"/>
    <w:rsid w:val="0005332C"/>
    <w:rsid w:val="00053919"/>
    <w:rsid w:val="00053E25"/>
    <w:rsid w:val="00054193"/>
    <w:rsid w:val="000549BA"/>
    <w:rsid w:val="00055936"/>
    <w:rsid w:val="00055B3F"/>
    <w:rsid w:val="00055FD4"/>
    <w:rsid w:val="000566CC"/>
    <w:rsid w:val="0005682B"/>
    <w:rsid w:val="00057222"/>
    <w:rsid w:val="00057359"/>
    <w:rsid w:val="00060258"/>
    <w:rsid w:val="0006042F"/>
    <w:rsid w:val="00060772"/>
    <w:rsid w:val="000611BE"/>
    <w:rsid w:val="00061832"/>
    <w:rsid w:val="00061DEB"/>
    <w:rsid w:val="00061E66"/>
    <w:rsid w:val="0006209F"/>
    <w:rsid w:val="00064A54"/>
    <w:rsid w:val="00065972"/>
    <w:rsid w:val="00066D45"/>
    <w:rsid w:val="00067C6A"/>
    <w:rsid w:val="000705F0"/>
    <w:rsid w:val="0007080D"/>
    <w:rsid w:val="000708B8"/>
    <w:rsid w:val="00071FB0"/>
    <w:rsid w:val="00072D7A"/>
    <w:rsid w:val="0007525A"/>
    <w:rsid w:val="000755F8"/>
    <w:rsid w:val="00075F8F"/>
    <w:rsid w:val="00076222"/>
    <w:rsid w:val="000775FB"/>
    <w:rsid w:val="000778A1"/>
    <w:rsid w:val="000778D6"/>
    <w:rsid w:val="00077D37"/>
    <w:rsid w:val="000802EC"/>
    <w:rsid w:val="00081959"/>
    <w:rsid w:val="00081D34"/>
    <w:rsid w:val="00082FEF"/>
    <w:rsid w:val="0008306B"/>
    <w:rsid w:val="000830BB"/>
    <w:rsid w:val="000837A1"/>
    <w:rsid w:val="00084644"/>
    <w:rsid w:val="00084C78"/>
    <w:rsid w:val="00084FFD"/>
    <w:rsid w:val="00085148"/>
    <w:rsid w:val="0008549C"/>
    <w:rsid w:val="000854C5"/>
    <w:rsid w:val="00086E27"/>
    <w:rsid w:val="000874F8"/>
    <w:rsid w:val="0008798F"/>
    <w:rsid w:val="000918A7"/>
    <w:rsid w:val="00091B8A"/>
    <w:rsid w:val="00094534"/>
    <w:rsid w:val="00095160"/>
    <w:rsid w:val="000959C5"/>
    <w:rsid w:val="00096419"/>
    <w:rsid w:val="00096B9E"/>
    <w:rsid w:val="00096F63"/>
    <w:rsid w:val="00097813"/>
    <w:rsid w:val="000978DE"/>
    <w:rsid w:val="000A0621"/>
    <w:rsid w:val="000A138D"/>
    <w:rsid w:val="000A27C4"/>
    <w:rsid w:val="000A2AF2"/>
    <w:rsid w:val="000A2B36"/>
    <w:rsid w:val="000A30A3"/>
    <w:rsid w:val="000A4326"/>
    <w:rsid w:val="000A565C"/>
    <w:rsid w:val="000A5E16"/>
    <w:rsid w:val="000A62FB"/>
    <w:rsid w:val="000B185B"/>
    <w:rsid w:val="000B27E1"/>
    <w:rsid w:val="000B2D7F"/>
    <w:rsid w:val="000B385B"/>
    <w:rsid w:val="000B3A91"/>
    <w:rsid w:val="000B3AFF"/>
    <w:rsid w:val="000B5485"/>
    <w:rsid w:val="000B5A2E"/>
    <w:rsid w:val="000B5EBC"/>
    <w:rsid w:val="000B6795"/>
    <w:rsid w:val="000B6F79"/>
    <w:rsid w:val="000C0112"/>
    <w:rsid w:val="000C08BD"/>
    <w:rsid w:val="000C0F93"/>
    <w:rsid w:val="000C10F6"/>
    <w:rsid w:val="000C1622"/>
    <w:rsid w:val="000C1D6C"/>
    <w:rsid w:val="000C1F78"/>
    <w:rsid w:val="000C3321"/>
    <w:rsid w:val="000C488D"/>
    <w:rsid w:val="000C559B"/>
    <w:rsid w:val="000C763F"/>
    <w:rsid w:val="000D0BE7"/>
    <w:rsid w:val="000D2514"/>
    <w:rsid w:val="000D2959"/>
    <w:rsid w:val="000D4B2D"/>
    <w:rsid w:val="000D4C39"/>
    <w:rsid w:val="000D50B0"/>
    <w:rsid w:val="000D6DA9"/>
    <w:rsid w:val="000D7455"/>
    <w:rsid w:val="000E047E"/>
    <w:rsid w:val="000E08D0"/>
    <w:rsid w:val="000E08D7"/>
    <w:rsid w:val="000E0B7A"/>
    <w:rsid w:val="000E26BF"/>
    <w:rsid w:val="000E2EC8"/>
    <w:rsid w:val="000E40AE"/>
    <w:rsid w:val="000E41F6"/>
    <w:rsid w:val="000E4A17"/>
    <w:rsid w:val="000E4F7D"/>
    <w:rsid w:val="000E61E6"/>
    <w:rsid w:val="000E633F"/>
    <w:rsid w:val="000E67A8"/>
    <w:rsid w:val="000E6BE1"/>
    <w:rsid w:val="000E6D50"/>
    <w:rsid w:val="000E7716"/>
    <w:rsid w:val="000E7C89"/>
    <w:rsid w:val="000E7E0D"/>
    <w:rsid w:val="000F09E3"/>
    <w:rsid w:val="000F11D2"/>
    <w:rsid w:val="000F2742"/>
    <w:rsid w:val="000F39F4"/>
    <w:rsid w:val="000F3E04"/>
    <w:rsid w:val="000F5E72"/>
    <w:rsid w:val="000F639E"/>
    <w:rsid w:val="000F6939"/>
    <w:rsid w:val="000F6B88"/>
    <w:rsid w:val="000F6E81"/>
    <w:rsid w:val="001001FD"/>
    <w:rsid w:val="0010022F"/>
    <w:rsid w:val="00100884"/>
    <w:rsid w:val="00100A3C"/>
    <w:rsid w:val="001024A3"/>
    <w:rsid w:val="001035A0"/>
    <w:rsid w:val="001046F9"/>
    <w:rsid w:val="00105444"/>
    <w:rsid w:val="00105901"/>
    <w:rsid w:val="00105CB2"/>
    <w:rsid w:val="00105F0D"/>
    <w:rsid w:val="00105F93"/>
    <w:rsid w:val="00106A37"/>
    <w:rsid w:val="00111C40"/>
    <w:rsid w:val="001121CB"/>
    <w:rsid w:val="0011287F"/>
    <w:rsid w:val="00112C95"/>
    <w:rsid w:val="00112D38"/>
    <w:rsid w:val="00113EDD"/>
    <w:rsid w:val="00114196"/>
    <w:rsid w:val="001146B1"/>
    <w:rsid w:val="001149FB"/>
    <w:rsid w:val="001155D0"/>
    <w:rsid w:val="00116FB8"/>
    <w:rsid w:val="001179C9"/>
    <w:rsid w:val="001205A4"/>
    <w:rsid w:val="0012082A"/>
    <w:rsid w:val="00121108"/>
    <w:rsid w:val="001212E9"/>
    <w:rsid w:val="00122ACE"/>
    <w:rsid w:val="00123215"/>
    <w:rsid w:val="00123A91"/>
    <w:rsid w:val="0012416D"/>
    <w:rsid w:val="0012449B"/>
    <w:rsid w:val="00124CEB"/>
    <w:rsid w:val="00124F3A"/>
    <w:rsid w:val="00125007"/>
    <w:rsid w:val="00127155"/>
    <w:rsid w:val="001275EA"/>
    <w:rsid w:val="00130174"/>
    <w:rsid w:val="001306A9"/>
    <w:rsid w:val="00130E9C"/>
    <w:rsid w:val="0013156E"/>
    <w:rsid w:val="001325C0"/>
    <w:rsid w:val="00133579"/>
    <w:rsid w:val="00133831"/>
    <w:rsid w:val="00133971"/>
    <w:rsid w:val="0013466E"/>
    <w:rsid w:val="001355C5"/>
    <w:rsid w:val="00135C8A"/>
    <w:rsid w:val="00136D41"/>
    <w:rsid w:val="001408DC"/>
    <w:rsid w:val="001410C2"/>
    <w:rsid w:val="001418E4"/>
    <w:rsid w:val="00141DED"/>
    <w:rsid w:val="0014270C"/>
    <w:rsid w:val="001453A0"/>
    <w:rsid w:val="001454C6"/>
    <w:rsid w:val="00145542"/>
    <w:rsid w:val="0014595F"/>
    <w:rsid w:val="0014683E"/>
    <w:rsid w:val="0014703E"/>
    <w:rsid w:val="001473F0"/>
    <w:rsid w:val="00151052"/>
    <w:rsid w:val="00151225"/>
    <w:rsid w:val="00153118"/>
    <w:rsid w:val="00153631"/>
    <w:rsid w:val="0015467C"/>
    <w:rsid w:val="00156EB6"/>
    <w:rsid w:val="001570F1"/>
    <w:rsid w:val="00157301"/>
    <w:rsid w:val="001578F8"/>
    <w:rsid w:val="001613F5"/>
    <w:rsid w:val="001615B4"/>
    <w:rsid w:val="001616FA"/>
    <w:rsid w:val="00161C01"/>
    <w:rsid w:val="00161D40"/>
    <w:rsid w:val="00163016"/>
    <w:rsid w:val="001631B7"/>
    <w:rsid w:val="001633F8"/>
    <w:rsid w:val="0016527B"/>
    <w:rsid w:val="00165574"/>
    <w:rsid w:val="001657E0"/>
    <w:rsid w:val="00166220"/>
    <w:rsid w:val="00166E68"/>
    <w:rsid w:val="001674BA"/>
    <w:rsid w:val="0017031D"/>
    <w:rsid w:val="0017049E"/>
    <w:rsid w:val="00171C4A"/>
    <w:rsid w:val="0017207B"/>
    <w:rsid w:val="00172327"/>
    <w:rsid w:val="00172D14"/>
    <w:rsid w:val="001730D4"/>
    <w:rsid w:val="00173335"/>
    <w:rsid w:val="00174D98"/>
    <w:rsid w:val="00175010"/>
    <w:rsid w:val="00175C44"/>
    <w:rsid w:val="00175FCF"/>
    <w:rsid w:val="00175FD1"/>
    <w:rsid w:val="0017649F"/>
    <w:rsid w:val="00176AF2"/>
    <w:rsid w:val="00176EAB"/>
    <w:rsid w:val="001770D4"/>
    <w:rsid w:val="001771C8"/>
    <w:rsid w:val="001773F2"/>
    <w:rsid w:val="0018005B"/>
    <w:rsid w:val="00180C25"/>
    <w:rsid w:val="00181817"/>
    <w:rsid w:val="001819C9"/>
    <w:rsid w:val="0018281A"/>
    <w:rsid w:val="00183176"/>
    <w:rsid w:val="0018360A"/>
    <w:rsid w:val="0018398F"/>
    <w:rsid w:val="0018440A"/>
    <w:rsid w:val="00184661"/>
    <w:rsid w:val="001855A5"/>
    <w:rsid w:val="00186370"/>
    <w:rsid w:val="001878D7"/>
    <w:rsid w:val="00187A08"/>
    <w:rsid w:val="001900A1"/>
    <w:rsid w:val="00190E00"/>
    <w:rsid w:val="001910F1"/>
    <w:rsid w:val="00191169"/>
    <w:rsid w:val="0019178E"/>
    <w:rsid w:val="00191829"/>
    <w:rsid w:val="001918B8"/>
    <w:rsid w:val="00191CC1"/>
    <w:rsid w:val="0019329D"/>
    <w:rsid w:val="001939C5"/>
    <w:rsid w:val="00193E48"/>
    <w:rsid w:val="00195E1F"/>
    <w:rsid w:val="001960EE"/>
    <w:rsid w:val="00196459"/>
    <w:rsid w:val="001967A9"/>
    <w:rsid w:val="00196CAC"/>
    <w:rsid w:val="00197225"/>
    <w:rsid w:val="001A0962"/>
    <w:rsid w:val="001A0FB4"/>
    <w:rsid w:val="001A144C"/>
    <w:rsid w:val="001A1FC6"/>
    <w:rsid w:val="001A26B5"/>
    <w:rsid w:val="001A3ECA"/>
    <w:rsid w:val="001A46CE"/>
    <w:rsid w:val="001A6301"/>
    <w:rsid w:val="001B03D7"/>
    <w:rsid w:val="001B17CF"/>
    <w:rsid w:val="001B1B1A"/>
    <w:rsid w:val="001B2EE3"/>
    <w:rsid w:val="001B2EF6"/>
    <w:rsid w:val="001B31E9"/>
    <w:rsid w:val="001B32D7"/>
    <w:rsid w:val="001B3983"/>
    <w:rsid w:val="001B39EF"/>
    <w:rsid w:val="001B3CD2"/>
    <w:rsid w:val="001B3FF2"/>
    <w:rsid w:val="001B5E7C"/>
    <w:rsid w:val="001B60AA"/>
    <w:rsid w:val="001B6500"/>
    <w:rsid w:val="001B6AB1"/>
    <w:rsid w:val="001B6E69"/>
    <w:rsid w:val="001B6F8A"/>
    <w:rsid w:val="001B77EC"/>
    <w:rsid w:val="001C0C0B"/>
    <w:rsid w:val="001C11CB"/>
    <w:rsid w:val="001C14BF"/>
    <w:rsid w:val="001C1906"/>
    <w:rsid w:val="001C1E77"/>
    <w:rsid w:val="001C2371"/>
    <w:rsid w:val="001C2664"/>
    <w:rsid w:val="001C312E"/>
    <w:rsid w:val="001C3E0D"/>
    <w:rsid w:val="001C4E1F"/>
    <w:rsid w:val="001C5921"/>
    <w:rsid w:val="001C6BB5"/>
    <w:rsid w:val="001C6C83"/>
    <w:rsid w:val="001C7283"/>
    <w:rsid w:val="001D1295"/>
    <w:rsid w:val="001D182B"/>
    <w:rsid w:val="001D390E"/>
    <w:rsid w:val="001D6557"/>
    <w:rsid w:val="001D6FD2"/>
    <w:rsid w:val="001D731B"/>
    <w:rsid w:val="001D74E7"/>
    <w:rsid w:val="001E29F5"/>
    <w:rsid w:val="001E2AB9"/>
    <w:rsid w:val="001E34CD"/>
    <w:rsid w:val="001E3DDD"/>
    <w:rsid w:val="001E4235"/>
    <w:rsid w:val="001E4AC6"/>
    <w:rsid w:val="001E53F0"/>
    <w:rsid w:val="001E53FA"/>
    <w:rsid w:val="001E7533"/>
    <w:rsid w:val="001E7BD8"/>
    <w:rsid w:val="001F032E"/>
    <w:rsid w:val="001F1884"/>
    <w:rsid w:val="001F2052"/>
    <w:rsid w:val="001F29BA"/>
    <w:rsid w:val="001F2A35"/>
    <w:rsid w:val="001F2D23"/>
    <w:rsid w:val="001F3091"/>
    <w:rsid w:val="001F3307"/>
    <w:rsid w:val="001F33A4"/>
    <w:rsid w:val="001F59DA"/>
    <w:rsid w:val="001F799D"/>
    <w:rsid w:val="001F7CC2"/>
    <w:rsid w:val="0020064A"/>
    <w:rsid w:val="00201188"/>
    <w:rsid w:val="0020159D"/>
    <w:rsid w:val="002020C0"/>
    <w:rsid w:val="002025FA"/>
    <w:rsid w:val="00202B54"/>
    <w:rsid w:val="0020367B"/>
    <w:rsid w:val="0020389F"/>
    <w:rsid w:val="00203BB2"/>
    <w:rsid w:val="0020405E"/>
    <w:rsid w:val="00204322"/>
    <w:rsid w:val="00204DFC"/>
    <w:rsid w:val="00207486"/>
    <w:rsid w:val="00207F04"/>
    <w:rsid w:val="002138E8"/>
    <w:rsid w:val="00213BD8"/>
    <w:rsid w:val="0021449D"/>
    <w:rsid w:val="0021489F"/>
    <w:rsid w:val="0021626B"/>
    <w:rsid w:val="002178AF"/>
    <w:rsid w:val="00217D24"/>
    <w:rsid w:val="00220111"/>
    <w:rsid w:val="00220398"/>
    <w:rsid w:val="00220BBE"/>
    <w:rsid w:val="00220BC8"/>
    <w:rsid w:val="00220E99"/>
    <w:rsid w:val="00220F7F"/>
    <w:rsid w:val="0022179C"/>
    <w:rsid w:val="00221A5D"/>
    <w:rsid w:val="00222956"/>
    <w:rsid w:val="00223218"/>
    <w:rsid w:val="002243B7"/>
    <w:rsid w:val="0022527A"/>
    <w:rsid w:val="00226114"/>
    <w:rsid w:val="002268D8"/>
    <w:rsid w:val="0022690F"/>
    <w:rsid w:val="00227871"/>
    <w:rsid w:val="00227D7D"/>
    <w:rsid w:val="00227DA8"/>
    <w:rsid w:val="0023005A"/>
    <w:rsid w:val="00232217"/>
    <w:rsid w:val="0023266C"/>
    <w:rsid w:val="002328EE"/>
    <w:rsid w:val="00232953"/>
    <w:rsid w:val="002335FE"/>
    <w:rsid w:val="00234457"/>
    <w:rsid w:val="00234BF4"/>
    <w:rsid w:val="002357AD"/>
    <w:rsid w:val="00235C19"/>
    <w:rsid w:val="00236E84"/>
    <w:rsid w:val="00237A58"/>
    <w:rsid w:val="00237B5F"/>
    <w:rsid w:val="00240F9C"/>
    <w:rsid w:val="00241A07"/>
    <w:rsid w:val="00241B21"/>
    <w:rsid w:val="00241DA9"/>
    <w:rsid w:val="002422F0"/>
    <w:rsid w:val="00242328"/>
    <w:rsid w:val="0024251A"/>
    <w:rsid w:val="0024316A"/>
    <w:rsid w:val="00243D59"/>
    <w:rsid w:val="00244494"/>
    <w:rsid w:val="00244B75"/>
    <w:rsid w:val="0024504F"/>
    <w:rsid w:val="0024516D"/>
    <w:rsid w:val="002452A9"/>
    <w:rsid w:val="002455C8"/>
    <w:rsid w:val="00247168"/>
    <w:rsid w:val="00247CF1"/>
    <w:rsid w:val="0025006A"/>
    <w:rsid w:val="002508BA"/>
    <w:rsid w:val="0025095A"/>
    <w:rsid w:val="00250A4D"/>
    <w:rsid w:val="00250CAC"/>
    <w:rsid w:val="002515A6"/>
    <w:rsid w:val="00253223"/>
    <w:rsid w:val="00253683"/>
    <w:rsid w:val="00253871"/>
    <w:rsid w:val="00253A6B"/>
    <w:rsid w:val="00253BD7"/>
    <w:rsid w:val="002540BC"/>
    <w:rsid w:val="00256846"/>
    <w:rsid w:val="00257172"/>
    <w:rsid w:val="00260415"/>
    <w:rsid w:val="00260ADF"/>
    <w:rsid w:val="0026324C"/>
    <w:rsid w:val="00263B78"/>
    <w:rsid w:val="00263C52"/>
    <w:rsid w:val="00263D4C"/>
    <w:rsid w:val="00265BB4"/>
    <w:rsid w:val="00265D37"/>
    <w:rsid w:val="002661B4"/>
    <w:rsid w:val="002670F9"/>
    <w:rsid w:val="00267405"/>
    <w:rsid w:val="002706CA"/>
    <w:rsid w:val="00270A47"/>
    <w:rsid w:val="0027177A"/>
    <w:rsid w:val="0027237C"/>
    <w:rsid w:val="0027374D"/>
    <w:rsid w:val="00274B08"/>
    <w:rsid w:val="00275CB8"/>
    <w:rsid w:val="00280028"/>
    <w:rsid w:val="00280038"/>
    <w:rsid w:val="00280512"/>
    <w:rsid w:val="0028052E"/>
    <w:rsid w:val="00280DF7"/>
    <w:rsid w:val="00281E8B"/>
    <w:rsid w:val="00283D46"/>
    <w:rsid w:val="002841A2"/>
    <w:rsid w:val="00286001"/>
    <w:rsid w:val="002875D5"/>
    <w:rsid w:val="002875E4"/>
    <w:rsid w:val="00287B97"/>
    <w:rsid w:val="00287D1A"/>
    <w:rsid w:val="00290E29"/>
    <w:rsid w:val="00291972"/>
    <w:rsid w:val="00294054"/>
    <w:rsid w:val="00294D4D"/>
    <w:rsid w:val="00294F5A"/>
    <w:rsid w:val="002950C7"/>
    <w:rsid w:val="0029602D"/>
    <w:rsid w:val="002A086F"/>
    <w:rsid w:val="002A0AB1"/>
    <w:rsid w:val="002A1363"/>
    <w:rsid w:val="002A2114"/>
    <w:rsid w:val="002A33C2"/>
    <w:rsid w:val="002A343A"/>
    <w:rsid w:val="002A37B3"/>
    <w:rsid w:val="002A4376"/>
    <w:rsid w:val="002A54B8"/>
    <w:rsid w:val="002A617D"/>
    <w:rsid w:val="002A7427"/>
    <w:rsid w:val="002A7D9D"/>
    <w:rsid w:val="002A7E3B"/>
    <w:rsid w:val="002B07F4"/>
    <w:rsid w:val="002B1D94"/>
    <w:rsid w:val="002B25B9"/>
    <w:rsid w:val="002B2921"/>
    <w:rsid w:val="002B2FBB"/>
    <w:rsid w:val="002B3156"/>
    <w:rsid w:val="002B3305"/>
    <w:rsid w:val="002B3446"/>
    <w:rsid w:val="002B4482"/>
    <w:rsid w:val="002B46D9"/>
    <w:rsid w:val="002B4C8F"/>
    <w:rsid w:val="002B52CE"/>
    <w:rsid w:val="002B6076"/>
    <w:rsid w:val="002B63C7"/>
    <w:rsid w:val="002B7089"/>
    <w:rsid w:val="002B7BEA"/>
    <w:rsid w:val="002C08C2"/>
    <w:rsid w:val="002C114E"/>
    <w:rsid w:val="002C1B66"/>
    <w:rsid w:val="002C1EDD"/>
    <w:rsid w:val="002C2131"/>
    <w:rsid w:val="002C21B2"/>
    <w:rsid w:val="002C2AA1"/>
    <w:rsid w:val="002C4E1C"/>
    <w:rsid w:val="002C5425"/>
    <w:rsid w:val="002C5F0F"/>
    <w:rsid w:val="002C68E2"/>
    <w:rsid w:val="002C7A88"/>
    <w:rsid w:val="002D0083"/>
    <w:rsid w:val="002D0437"/>
    <w:rsid w:val="002D0B51"/>
    <w:rsid w:val="002D298B"/>
    <w:rsid w:val="002D43E8"/>
    <w:rsid w:val="002D597B"/>
    <w:rsid w:val="002D6225"/>
    <w:rsid w:val="002D7EAA"/>
    <w:rsid w:val="002D7F95"/>
    <w:rsid w:val="002E016C"/>
    <w:rsid w:val="002E035E"/>
    <w:rsid w:val="002E0765"/>
    <w:rsid w:val="002E0EEC"/>
    <w:rsid w:val="002E100D"/>
    <w:rsid w:val="002E1CC3"/>
    <w:rsid w:val="002E279E"/>
    <w:rsid w:val="002E2D4A"/>
    <w:rsid w:val="002E2E82"/>
    <w:rsid w:val="002E34AC"/>
    <w:rsid w:val="002E4631"/>
    <w:rsid w:val="002E4814"/>
    <w:rsid w:val="002E515C"/>
    <w:rsid w:val="002E52BE"/>
    <w:rsid w:val="002E58BB"/>
    <w:rsid w:val="002E5A21"/>
    <w:rsid w:val="002E6646"/>
    <w:rsid w:val="002E6A78"/>
    <w:rsid w:val="002E6BF9"/>
    <w:rsid w:val="002E6D03"/>
    <w:rsid w:val="002E6FB9"/>
    <w:rsid w:val="002E776C"/>
    <w:rsid w:val="002F06E5"/>
    <w:rsid w:val="002F0A19"/>
    <w:rsid w:val="002F0DA2"/>
    <w:rsid w:val="002F1077"/>
    <w:rsid w:val="002F14A6"/>
    <w:rsid w:val="002F348A"/>
    <w:rsid w:val="002F44B5"/>
    <w:rsid w:val="002F5D0F"/>
    <w:rsid w:val="003012BF"/>
    <w:rsid w:val="00301AA7"/>
    <w:rsid w:val="003039DF"/>
    <w:rsid w:val="00303B70"/>
    <w:rsid w:val="00303EA9"/>
    <w:rsid w:val="003043EF"/>
    <w:rsid w:val="0030455A"/>
    <w:rsid w:val="00304E19"/>
    <w:rsid w:val="00304EF9"/>
    <w:rsid w:val="00304FB6"/>
    <w:rsid w:val="00305E08"/>
    <w:rsid w:val="00307D32"/>
    <w:rsid w:val="00307EC7"/>
    <w:rsid w:val="0031070A"/>
    <w:rsid w:val="00310AD4"/>
    <w:rsid w:val="00310DE7"/>
    <w:rsid w:val="003111A5"/>
    <w:rsid w:val="0031163F"/>
    <w:rsid w:val="00311D25"/>
    <w:rsid w:val="00312C44"/>
    <w:rsid w:val="00313034"/>
    <w:rsid w:val="003131EF"/>
    <w:rsid w:val="003141D9"/>
    <w:rsid w:val="00314CA8"/>
    <w:rsid w:val="00314D11"/>
    <w:rsid w:val="00315514"/>
    <w:rsid w:val="00315CCF"/>
    <w:rsid w:val="003174F6"/>
    <w:rsid w:val="003175E9"/>
    <w:rsid w:val="00317CFB"/>
    <w:rsid w:val="00320FAA"/>
    <w:rsid w:val="00321456"/>
    <w:rsid w:val="003214CA"/>
    <w:rsid w:val="003216C4"/>
    <w:rsid w:val="00321B4B"/>
    <w:rsid w:val="00322927"/>
    <w:rsid w:val="003231E5"/>
    <w:rsid w:val="00323904"/>
    <w:rsid w:val="00323EC5"/>
    <w:rsid w:val="00324B2C"/>
    <w:rsid w:val="00324F9E"/>
    <w:rsid w:val="00325765"/>
    <w:rsid w:val="00325A51"/>
    <w:rsid w:val="00325CE6"/>
    <w:rsid w:val="0032617D"/>
    <w:rsid w:val="00326D21"/>
    <w:rsid w:val="00326FCB"/>
    <w:rsid w:val="00330862"/>
    <w:rsid w:val="00331C21"/>
    <w:rsid w:val="00332108"/>
    <w:rsid w:val="00332C72"/>
    <w:rsid w:val="00333565"/>
    <w:rsid w:val="00333D7D"/>
    <w:rsid w:val="00333EBE"/>
    <w:rsid w:val="003341BD"/>
    <w:rsid w:val="00334754"/>
    <w:rsid w:val="00335F50"/>
    <w:rsid w:val="003366E9"/>
    <w:rsid w:val="003379A1"/>
    <w:rsid w:val="003411D6"/>
    <w:rsid w:val="0034165E"/>
    <w:rsid w:val="00341907"/>
    <w:rsid w:val="00341DAE"/>
    <w:rsid w:val="00341EF7"/>
    <w:rsid w:val="00342ADF"/>
    <w:rsid w:val="0034309E"/>
    <w:rsid w:val="003437AC"/>
    <w:rsid w:val="003444AC"/>
    <w:rsid w:val="00344850"/>
    <w:rsid w:val="00344F41"/>
    <w:rsid w:val="00345194"/>
    <w:rsid w:val="00345200"/>
    <w:rsid w:val="00345B50"/>
    <w:rsid w:val="00346E00"/>
    <w:rsid w:val="00347058"/>
    <w:rsid w:val="00347814"/>
    <w:rsid w:val="0035010D"/>
    <w:rsid w:val="00350285"/>
    <w:rsid w:val="0035062C"/>
    <w:rsid w:val="00351EC7"/>
    <w:rsid w:val="003533B3"/>
    <w:rsid w:val="003535BB"/>
    <w:rsid w:val="00353FDA"/>
    <w:rsid w:val="00354B66"/>
    <w:rsid w:val="00357269"/>
    <w:rsid w:val="0035730B"/>
    <w:rsid w:val="00357DC1"/>
    <w:rsid w:val="00360874"/>
    <w:rsid w:val="00361EB8"/>
    <w:rsid w:val="00362650"/>
    <w:rsid w:val="00362C9F"/>
    <w:rsid w:val="00363283"/>
    <w:rsid w:val="00363D7E"/>
    <w:rsid w:val="003641E1"/>
    <w:rsid w:val="003654FF"/>
    <w:rsid w:val="00365E9A"/>
    <w:rsid w:val="00366B6D"/>
    <w:rsid w:val="00367021"/>
    <w:rsid w:val="003677F6"/>
    <w:rsid w:val="0036786B"/>
    <w:rsid w:val="00367E35"/>
    <w:rsid w:val="00367F8D"/>
    <w:rsid w:val="00370CDA"/>
    <w:rsid w:val="00370E7D"/>
    <w:rsid w:val="00372F11"/>
    <w:rsid w:val="003739FA"/>
    <w:rsid w:val="00374040"/>
    <w:rsid w:val="00374316"/>
    <w:rsid w:val="003748E3"/>
    <w:rsid w:val="00375234"/>
    <w:rsid w:val="00375321"/>
    <w:rsid w:val="00376065"/>
    <w:rsid w:val="0037683B"/>
    <w:rsid w:val="00377E10"/>
    <w:rsid w:val="00380ABA"/>
    <w:rsid w:val="00380B79"/>
    <w:rsid w:val="00381516"/>
    <w:rsid w:val="00381653"/>
    <w:rsid w:val="00382722"/>
    <w:rsid w:val="00385995"/>
    <w:rsid w:val="00385E53"/>
    <w:rsid w:val="003873FA"/>
    <w:rsid w:val="0039075A"/>
    <w:rsid w:val="00390D0A"/>
    <w:rsid w:val="0039160D"/>
    <w:rsid w:val="00391A26"/>
    <w:rsid w:val="00392E2E"/>
    <w:rsid w:val="003932B2"/>
    <w:rsid w:val="0039403F"/>
    <w:rsid w:val="0039431A"/>
    <w:rsid w:val="0039480A"/>
    <w:rsid w:val="003948D0"/>
    <w:rsid w:val="00396755"/>
    <w:rsid w:val="00397007"/>
    <w:rsid w:val="003A00FE"/>
    <w:rsid w:val="003A0368"/>
    <w:rsid w:val="003A1150"/>
    <w:rsid w:val="003A1AD5"/>
    <w:rsid w:val="003A1B86"/>
    <w:rsid w:val="003A217B"/>
    <w:rsid w:val="003A2BD6"/>
    <w:rsid w:val="003A2D48"/>
    <w:rsid w:val="003A360F"/>
    <w:rsid w:val="003A6608"/>
    <w:rsid w:val="003A6F39"/>
    <w:rsid w:val="003A77C3"/>
    <w:rsid w:val="003A7D87"/>
    <w:rsid w:val="003A7FBF"/>
    <w:rsid w:val="003B02F5"/>
    <w:rsid w:val="003B0D88"/>
    <w:rsid w:val="003B1866"/>
    <w:rsid w:val="003B3B7A"/>
    <w:rsid w:val="003B404D"/>
    <w:rsid w:val="003B649D"/>
    <w:rsid w:val="003B6D4A"/>
    <w:rsid w:val="003C0BDA"/>
    <w:rsid w:val="003C0F42"/>
    <w:rsid w:val="003C1F82"/>
    <w:rsid w:val="003C312A"/>
    <w:rsid w:val="003C35F9"/>
    <w:rsid w:val="003C38F4"/>
    <w:rsid w:val="003C4475"/>
    <w:rsid w:val="003C4C26"/>
    <w:rsid w:val="003C6F91"/>
    <w:rsid w:val="003C7F44"/>
    <w:rsid w:val="003D07E1"/>
    <w:rsid w:val="003D0FFC"/>
    <w:rsid w:val="003D1A60"/>
    <w:rsid w:val="003D1CED"/>
    <w:rsid w:val="003D29D1"/>
    <w:rsid w:val="003D2A2B"/>
    <w:rsid w:val="003D2E56"/>
    <w:rsid w:val="003D4272"/>
    <w:rsid w:val="003D43D6"/>
    <w:rsid w:val="003D51E2"/>
    <w:rsid w:val="003D54FA"/>
    <w:rsid w:val="003D5B36"/>
    <w:rsid w:val="003D638A"/>
    <w:rsid w:val="003D77DB"/>
    <w:rsid w:val="003E385D"/>
    <w:rsid w:val="003E6364"/>
    <w:rsid w:val="003E6759"/>
    <w:rsid w:val="003E6C13"/>
    <w:rsid w:val="003E6E16"/>
    <w:rsid w:val="003F00D1"/>
    <w:rsid w:val="003F0C26"/>
    <w:rsid w:val="003F0D59"/>
    <w:rsid w:val="003F0DBC"/>
    <w:rsid w:val="003F19AD"/>
    <w:rsid w:val="003F280A"/>
    <w:rsid w:val="003F4BA0"/>
    <w:rsid w:val="003F59CA"/>
    <w:rsid w:val="003F5AC6"/>
    <w:rsid w:val="003F5D3D"/>
    <w:rsid w:val="003F61CD"/>
    <w:rsid w:val="003F65C8"/>
    <w:rsid w:val="003F69FA"/>
    <w:rsid w:val="003F6C64"/>
    <w:rsid w:val="003F7990"/>
    <w:rsid w:val="003F7B22"/>
    <w:rsid w:val="0040050B"/>
    <w:rsid w:val="004007AA"/>
    <w:rsid w:val="00400B32"/>
    <w:rsid w:val="00401262"/>
    <w:rsid w:val="004023C5"/>
    <w:rsid w:val="00402C2F"/>
    <w:rsid w:val="00402D08"/>
    <w:rsid w:val="00403D9E"/>
    <w:rsid w:val="0040413C"/>
    <w:rsid w:val="0040445B"/>
    <w:rsid w:val="00404692"/>
    <w:rsid w:val="00404CF4"/>
    <w:rsid w:val="00405EF5"/>
    <w:rsid w:val="004060EE"/>
    <w:rsid w:val="00406769"/>
    <w:rsid w:val="004072AE"/>
    <w:rsid w:val="004077F7"/>
    <w:rsid w:val="00407CDE"/>
    <w:rsid w:val="0041072D"/>
    <w:rsid w:val="004108CA"/>
    <w:rsid w:val="00412EB7"/>
    <w:rsid w:val="0041306C"/>
    <w:rsid w:val="0041425C"/>
    <w:rsid w:val="004167AF"/>
    <w:rsid w:val="00416936"/>
    <w:rsid w:val="00416E03"/>
    <w:rsid w:val="0041704A"/>
    <w:rsid w:val="00417C94"/>
    <w:rsid w:val="0042001A"/>
    <w:rsid w:val="00420AF4"/>
    <w:rsid w:val="004221E6"/>
    <w:rsid w:val="00423206"/>
    <w:rsid w:val="004234DD"/>
    <w:rsid w:val="00423511"/>
    <w:rsid w:val="004255A2"/>
    <w:rsid w:val="00425ECA"/>
    <w:rsid w:val="00427283"/>
    <w:rsid w:val="00427524"/>
    <w:rsid w:val="00427B52"/>
    <w:rsid w:val="004304E1"/>
    <w:rsid w:val="004333D0"/>
    <w:rsid w:val="004337A0"/>
    <w:rsid w:val="00433995"/>
    <w:rsid w:val="00434337"/>
    <w:rsid w:val="00435280"/>
    <w:rsid w:val="0043532A"/>
    <w:rsid w:val="00435E7D"/>
    <w:rsid w:val="0043671E"/>
    <w:rsid w:val="00436BF9"/>
    <w:rsid w:val="004370AE"/>
    <w:rsid w:val="00437D14"/>
    <w:rsid w:val="00440F03"/>
    <w:rsid w:val="004416C2"/>
    <w:rsid w:val="00441E76"/>
    <w:rsid w:val="00442546"/>
    <w:rsid w:val="004441A4"/>
    <w:rsid w:val="004446E9"/>
    <w:rsid w:val="004458DF"/>
    <w:rsid w:val="00445B17"/>
    <w:rsid w:val="00447DA8"/>
    <w:rsid w:val="004508C1"/>
    <w:rsid w:val="004517BF"/>
    <w:rsid w:val="00451A81"/>
    <w:rsid w:val="00451D96"/>
    <w:rsid w:val="00452083"/>
    <w:rsid w:val="00452B78"/>
    <w:rsid w:val="00453E0C"/>
    <w:rsid w:val="004544EB"/>
    <w:rsid w:val="004548D2"/>
    <w:rsid w:val="00454FF0"/>
    <w:rsid w:val="00457810"/>
    <w:rsid w:val="00457B1A"/>
    <w:rsid w:val="00461459"/>
    <w:rsid w:val="004619CE"/>
    <w:rsid w:val="00462882"/>
    <w:rsid w:val="004640F9"/>
    <w:rsid w:val="0046454E"/>
    <w:rsid w:val="00464E9F"/>
    <w:rsid w:val="00465197"/>
    <w:rsid w:val="004652D1"/>
    <w:rsid w:val="0046646C"/>
    <w:rsid w:val="00467427"/>
    <w:rsid w:val="00467F6C"/>
    <w:rsid w:val="00470150"/>
    <w:rsid w:val="004706BF"/>
    <w:rsid w:val="0047097B"/>
    <w:rsid w:val="0047250B"/>
    <w:rsid w:val="0047257C"/>
    <w:rsid w:val="00473D74"/>
    <w:rsid w:val="00474838"/>
    <w:rsid w:val="00475173"/>
    <w:rsid w:val="0047602D"/>
    <w:rsid w:val="00476592"/>
    <w:rsid w:val="004765CA"/>
    <w:rsid w:val="00480A4B"/>
    <w:rsid w:val="00480BE4"/>
    <w:rsid w:val="00480DED"/>
    <w:rsid w:val="00480EC5"/>
    <w:rsid w:val="0048117B"/>
    <w:rsid w:val="0048127D"/>
    <w:rsid w:val="004813B2"/>
    <w:rsid w:val="00481D42"/>
    <w:rsid w:val="0048226A"/>
    <w:rsid w:val="00482ABE"/>
    <w:rsid w:val="00482FFD"/>
    <w:rsid w:val="004832CE"/>
    <w:rsid w:val="00483597"/>
    <w:rsid w:val="00484C1E"/>
    <w:rsid w:val="004854EC"/>
    <w:rsid w:val="00485656"/>
    <w:rsid w:val="00487D72"/>
    <w:rsid w:val="0049071B"/>
    <w:rsid w:val="00490FD0"/>
    <w:rsid w:val="00491E76"/>
    <w:rsid w:val="00492599"/>
    <w:rsid w:val="00492FEA"/>
    <w:rsid w:val="0049346D"/>
    <w:rsid w:val="00493E66"/>
    <w:rsid w:val="00494A85"/>
    <w:rsid w:val="004952B5"/>
    <w:rsid w:val="004959A7"/>
    <w:rsid w:val="00496903"/>
    <w:rsid w:val="00497134"/>
    <w:rsid w:val="004972E1"/>
    <w:rsid w:val="00497326"/>
    <w:rsid w:val="004973C2"/>
    <w:rsid w:val="004A023B"/>
    <w:rsid w:val="004A0805"/>
    <w:rsid w:val="004A09CF"/>
    <w:rsid w:val="004A1B4F"/>
    <w:rsid w:val="004A272B"/>
    <w:rsid w:val="004A376E"/>
    <w:rsid w:val="004A5A18"/>
    <w:rsid w:val="004B05F5"/>
    <w:rsid w:val="004B2876"/>
    <w:rsid w:val="004B2D14"/>
    <w:rsid w:val="004B3EDA"/>
    <w:rsid w:val="004B4698"/>
    <w:rsid w:val="004B498B"/>
    <w:rsid w:val="004B4B6C"/>
    <w:rsid w:val="004B576D"/>
    <w:rsid w:val="004B65A6"/>
    <w:rsid w:val="004B697F"/>
    <w:rsid w:val="004B6EFA"/>
    <w:rsid w:val="004B7942"/>
    <w:rsid w:val="004B7CFB"/>
    <w:rsid w:val="004C0BD5"/>
    <w:rsid w:val="004C10B9"/>
    <w:rsid w:val="004C2A1A"/>
    <w:rsid w:val="004C34E3"/>
    <w:rsid w:val="004C3BD5"/>
    <w:rsid w:val="004C4814"/>
    <w:rsid w:val="004C62B9"/>
    <w:rsid w:val="004C6D99"/>
    <w:rsid w:val="004C71D8"/>
    <w:rsid w:val="004D0D90"/>
    <w:rsid w:val="004D11D0"/>
    <w:rsid w:val="004D25B2"/>
    <w:rsid w:val="004D2B99"/>
    <w:rsid w:val="004D3C46"/>
    <w:rsid w:val="004D4295"/>
    <w:rsid w:val="004D5D72"/>
    <w:rsid w:val="004E0506"/>
    <w:rsid w:val="004E2863"/>
    <w:rsid w:val="004E37BC"/>
    <w:rsid w:val="004E39BC"/>
    <w:rsid w:val="004E46C3"/>
    <w:rsid w:val="004E504E"/>
    <w:rsid w:val="004E5962"/>
    <w:rsid w:val="004E5B75"/>
    <w:rsid w:val="004E6BC1"/>
    <w:rsid w:val="004E792A"/>
    <w:rsid w:val="004F010A"/>
    <w:rsid w:val="004F17EF"/>
    <w:rsid w:val="004F34F5"/>
    <w:rsid w:val="004F5A52"/>
    <w:rsid w:val="004F6196"/>
    <w:rsid w:val="004F63BE"/>
    <w:rsid w:val="004F75FA"/>
    <w:rsid w:val="004F775C"/>
    <w:rsid w:val="004F7BF2"/>
    <w:rsid w:val="004F7EFD"/>
    <w:rsid w:val="004F7FEE"/>
    <w:rsid w:val="005004A0"/>
    <w:rsid w:val="00500E55"/>
    <w:rsid w:val="005029A1"/>
    <w:rsid w:val="00503428"/>
    <w:rsid w:val="0050420D"/>
    <w:rsid w:val="00504279"/>
    <w:rsid w:val="0050458C"/>
    <w:rsid w:val="005047A9"/>
    <w:rsid w:val="005048C4"/>
    <w:rsid w:val="00504FA3"/>
    <w:rsid w:val="005056C7"/>
    <w:rsid w:val="00505876"/>
    <w:rsid w:val="00505932"/>
    <w:rsid w:val="00506513"/>
    <w:rsid w:val="005076AD"/>
    <w:rsid w:val="00507C87"/>
    <w:rsid w:val="005107FD"/>
    <w:rsid w:val="00510F14"/>
    <w:rsid w:val="00511622"/>
    <w:rsid w:val="00511C0A"/>
    <w:rsid w:val="00511C37"/>
    <w:rsid w:val="005128AB"/>
    <w:rsid w:val="005131AC"/>
    <w:rsid w:val="005131F3"/>
    <w:rsid w:val="0051356B"/>
    <w:rsid w:val="00514198"/>
    <w:rsid w:val="00515228"/>
    <w:rsid w:val="00515DC3"/>
    <w:rsid w:val="00516456"/>
    <w:rsid w:val="00517F23"/>
    <w:rsid w:val="00520049"/>
    <w:rsid w:val="0052022E"/>
    <w:rsid w:val="00523283"/>
    <w:rsid w:val="00524016"/>
    <w:rsid w:val="0052402E"/>
    <w:rsid w:val="0052406F"/>
    <w:rsid w:val="00524509"/>
    <w:rsid w:val="0052500B"/>
    <w:rsid w:val="0052555A"/>
    <w:rsid w:val="005255DE"/>
    <w:rsid w:val="00525EF6"/>
    <w:rsid w:val="005302A8"/>
    <w:rsid w:val="00531AC6"/>
    <w:rsid w:val="00531ED8"/>
    <w:rsid w:val="00532028"/>
    <w:rsid w:val="005327E5"/>
    <w:rsid w:val="0053345A"/>
    <w:rsid w:val="00534465"/>
    <w:rsid w:val="00534618"/>
    <w:rsid w:val="00535A20"/>
    <w:rsid w:val="00536B21"/>
    <w:rsid w:val="00536B25"/>
    <w:rsid w:val="00537FEB"/>
    <w:rsid w:val="00540485"/>
    <w:rsid w:val="00540642"/>
    <w:rsid w:val="00540BD0"/>
    <w:rsid w:val="00541318"/>
    <w:rsid w:val="00541611"/>
    <w:rsid w:val="00541676"/>
    <w:rsid w:val="005419B0"/>
    <w:rsid w:val="00541DE3"/>
    <w:rsid w:val="0054212F"/>
    <w:rsid w:val="00544B21"/>
    <w:rsid w:val="00544EBD"/>
    <w:rsid w:val="00544F15"/>
    <w:rsid w:val="005451DB"/>
    <w:rsid w:val="00545604"/>
    <w:rsid w:val="00545FED"/>
    <w:rsid w:val="0054614E"/>
    <w:rsid w:val="0054732A"/>
    <w:rsid w:val="005475D5"/>
    <w:rsid w:val="00552E33"/>
    <w:rsid w:val="005530F1"/>
    <w:rsid w:val="00554499"/>
    <w:rsid w:val="00554E3F"/>
    <w:rsid w:val="00554F99"/>
    <w:rsid w:val="005564ED"/>
    <w:rsid w:val="00556586"/>
    <w:rsid w:val="00556CBF"/>
    <w:rsid w:val="00556FFE"/>
    <w:rsid w:val="00560706"/>
    <w:rsid w:val="00560B8D"/>
    <w:rsid w:val="00561440"/>
    <w:rsid w:val="00561A68"/>
    <w:rsid w:val="00562B08"/>
    <w:rsid w:val="00563710"/>
    <w:rsid w:val="00565583"/>
    <w:rsid w:val="00565791"/>
    <w:rsid w:val="005659C8"/>
    <w:rsid w:val="00565DF5"/>
    <w:rsid w:val="005662AA"/>
    <w:rsid w:val="005666C4"/>
    <w:rsid w:val="00566BED"/>
    <w:rsid w:val="00570A47"/>
    <w:rsid w:val="0057122A"/>
    <w:rsid w:val="00571AE4"/>
    <w:rsid w:val="0057260D"/>
    <w:rsid w:val="005728EC"/>
    <w:rsid w:val="00572E3D"/>
    <w:rsid w:val="0057368F"/>
    <w:rsid w:val="00574384"/>
    <w:rsid w:val="005747CD"/>
    <w:rsid w:val="00574BFA"/>
    <w:rsid w:val="00574EBE"/>
    <w:rsid w:val="005754C1"/>
    <w:rsid w:val="00575B92"/>
    <w:rsid w:val="00575EF7"/>
    <w:rsid w:val="00575F60"/>
    <w:rsid w:val="00576300"/>
    <w:rsid w:val="00576FAA"/>
    <w:rsid w:val="00580771"/>
    <w:rsid w:val="00580B9F"/>
    <w:rsid w:val="00580D0C"/>
    <w:rsid w:val="00580E32"/>
    <w:rsid w:val="00581533"/>
    <w:rsid w:val="00583308"/>
    <w:rsid w:val="0058332D"/>
    <w:rsid w:val="00583C8D"/>
    <w:rsid w:val="00583FEE"/>
    <w:rsid w:val="00584947"/>
    <w:rsid w:val="005858A2"/>
    <w:rsid w:val="00586E09"/>
    <w:rsid w:val="005905BC"/>
    <w:rsid w:val="005906F9"/>
    <w:rsid w:val="0059103E"/>
    <w:rsid w:val="00591D00"/>
    <w:rsid w:val="0059325B"/>
    <w:rsid w:val="00593BB8"/>
    <w:rsid w:val="00594038"/>
    <w:rsid w:val="005940F9"/>
    <w:rsid w:val="005947A8"/>
    <w:rsid w:val="0059529A"/>
    <w:rsid w:val="00595E74"/>
    <w:rsid w:val="0059646B"/>
    <w:rsid w:val="005965C7"/>
    <w:rsid w:val="005967C3"/>
    <w:rsid w:val="00596B7B"/>
    <w:rsid w:val="00596E20"/>
    <w:rsid w:val="00597C15"/>
    <w:rsid w:val="005A0007"/>
    <w:rsid w:val="005A0146"/>
    <w:rsid w:val="005A0C04"/>
    <w:rsid w:val="005A142F"/>
    <w:rsid w:val="005A14D0"/>
    <w:rsid w:val="005A162B"/>
    <w:rsid w:val="005A1AB0"/>
    <w:rsid w:val="005A44DB"/>
    <w:rsid w:val="005A5109"/>
    <w:rsid w:val="005A522A"/>
    <w:rsid w:val="005A6876"/>
    <w:rsid w:val="005A7916"/>
    <w:rsid w:val="005B037E"/>
    <w:rsid w:val="005B1E11"/>
    <w:rsid w:val="005B21E1"/>
    <w:rsid w:val="005B25E5"/>
    <w:rsid w:val="005B2B94"/>
    <w:rsid w:val="005B2F94"/>
    <w:rsid w:val="005B3CD9"/>
    <w:rsid w:val="005B3E5E"/>
    <w:rsid w:val="005B4159"/>
    <w:rsid w:val="005B4A17"/>
    <w:rsid w:val="005B5B20"/>
    <w:rsid w:val="005B6239"/>
    <w:rsid w:val="005B64FE"/>
    <w:rsid w:val="005B7559"/>
    <w:rsid w:val="005B7708"/>
    <w:rsid w:val="005C0CC0"/>
    <w:rsid w:val="005C296F"/>
    <w:rsid w:val="005C3555"/>
    <w:rsid w:val="005C380D"/>
    <w:rsid w:val="005C49C0"/>
    <w:rsid w:val="005C49D5"/>
    <w:rsid w:val="005C4C16"/>
    <w:rsid w:val="005C4C3B"/>
    <w:rsid w:val="005C4C80"/>
    <w:rsid w:val="005C7EC5"/>
    <w:rsid w:val="005D2A83"/>
    <w:rsid w:val="005D2DB5"/>
    <w:rsid w:val="005D3E0B"/>
    <w:rsid w:val="005D6E76"/>
    <w:rsid w:val="005D6FD3"/>
    <w:rsid w:val="005D70DB"/>
    <w:rsid w:val="005D72D9"/>
    <w:rsid w:val="005E0139"/>
    <w:rsid w:val="005E073F"/>
    <w:rsid w:val="005E09A5"/>
    <w:rsid w:val="005E0A63"/>
    <w:rsid w:val="005E0E5A"/>
    <w:rsid w:val="005E1BB3"/>
    <w:rsid w:val="005E1E5A"/>
    <w:rsid w:val="005E2784"/>
    <w:rsid w:val="005E2F24"/>
    <w:rsid w:val="005E39BD"/>
    <w:rsid w:val="005E3AC9"/>
    <w:rsid w:val="005E3D60"/>
    <w:rsid w:val="005E550C"/>
    <w:rsid w:val="005E5A43"/>
    <w:rsid w:val="005E5AF4"/>
    <w:rsid w:val="005E604B"/>
    <w:rsid w:val="005E7379"/>
    <w:rsid w:val="005F0256"/>
    <w:rsid w:val="005F02C3"/>
    <w:rsid w:val="005F05B3"/>
    <w:rsid w:val="005F07C2"/>
    <w:rsid w:val="005F232A"/>
    <w:rsid w:val="005F258C"/>
    <w:rsid w:val="005F261F"/>
    <w:rsid w:val="005F2D07"/>
    <w:rsid w:val="005F396F"/>
    <w:rsid w:val="005F4495"/>
    <w:rsid w:val="005F48BB"/>
    <w:rsid w:val="005F5429"/>
    <w:rsid w:val="005F609D"/>
    <w:rsid w:val="005F7315"/>
    <w:rsid w:val="0060172E"/>
    <w:rsid w:val="00601A88"/>
    <w:rsid w:val="0060298F"/>
    <w:rsid w:val="00603073"/>
    <w:rsid w:val="00603D8C"/>
    <w:rsid w:val="006041A6"/>
    <w:rsid w:val="00604A33"/>
    <w:rsid w:val="0060513B"/>
    <w:rsid w:val="0060549D"/>
    <w:rsid w:val="006058BC"/>
    <w:rsid w:val="00606714"/>
    <w:rsid w:val="00606DF2"/>
    <w:rsid w:val="00611627"/>
    <w:rsid w:val="00611EB9"/>
    <w:rsid w:val="006122F9"/>
    <w:rsid w:val="0061237B"/>
    <w:rsid w:val="00613744"/>
    <w:rsid w:val="00613747"/>
    <w:rsid w:val="006141F5"/>
    <w:rsid w:val="00614C62"/>
    <w:rsid w:val="00615870"/>
    <w:rsid w:val="00615EB7"/>
    <w:rsid w:val="00616217"/>
    <w:rsid w:val="00616D88"/>
    <w:rsid w:val="006176EC"/>
    <w:rsid w:val="006210A4"/>
    <w:rsid w:val="00621D04"/>
    <w:rsid w:val="00623AAD"/>
    <w:rsid w:val="0062429D"/>
    <w:rsid w:val="00624F58"/>
    <w:rsid w:val="00625359"/>
    <w:rsid w:val="00625448"/>
    <w:rsid w:val="00626D97"/>
    <w:rsid w:val="00626F46"/>
    <w:rsid w:val="006272C5"/>
    <w:rsid w:val="0062796A"/>
    <w:rsid w:val="006312CA"/>
    <w:rsid w:val="006314C8"/>
    <w:rsid w:val="00632361"/>
    <w:rsid w:val="00632BD4"/>
    <w:rsid w:val="006331F4"/>
    <w:rsid w:val="00633D48"/>
    <w:rsid w:val="00634154"/>
    <w:rsid w:val="006343AF"/>
    <w:rsid w:val="00635012"/>
    <w:rsid w:val="006373AB"/>
    <w:rsid w:val="0063798E"/>
    <w:rsid w:val="00640473"/>
    <w:rsid w:val="0064067D"/>
    <w:rsid w:val="00640C3F"/>
    <w:rsid w:val="00640FFA"/>
    <w:rsid w:val="00641607"/>
    <w:rsid w:val="006417A1"/>
    <w:rsid w:val="00641D78"/>
    <w:rsid w:val="00643C0A"/>
    <w:rsid w:val="00643E7B"/>
    <w:rsid w:val="00643ECE"/>
    <w:rsid w:val="006442AB"/>
    <w:rsid w:val="0064528B"/>
    <w:rsid w:val="00647057"/>
    <w:rsid w:val="00647F51"/>
    <w:rsid w:val="006501FE"/>
    <w:rsid w:val="00650361"/>
    <w:rsid w:val="006507D3"/>
    <w:rsid w:val="00650A22"/>
    <w:rsid w:val="0065128A"/>
    <w:rsid w:val="00651C2E"/>
    <w:rsid w:val="0065282B"/>
    <w:rsid w:val="006533F4"/>
    <w:rsid w:val="00654360"/>
    <w:rsid w:val="0065464C"/>
    <w:rsid w:val="00655B86"/>
    <w:rsid w:val="0065614B"/>
    <w:rsid w:val="006562A1"/>
    <w:rsid w:val="00656C89"/>
    <w:rsid w:val="00660ECD"/>
    <w:rsid w:val="006611BC"/>
    <w:rsid w:val="00661656"/>
    <w:rsid w:val="0066237A"/>
    <w:rsid w:val="00663B13"/>
    <w:rsid w:val="0066442F"/>
    <w:rsid w:val="00666272"/>
    <w:rsid w:val="006668E4"/>
    <w:rsid w:val="006671E5"/>
    <w:rsid w:val="00670A88"/>
    <w:rsid w:val="006715B9"/>
    <w:rsid w:val="006720CA"/>
    <w:rsid w:val="00672234"/>
    <w:rsid w:val="0067315C"/>
    <w:rsid w:val="00674A87"/>
    <w:rsid w:val="00674D11"/>
    <w:rsid w:val="006750BD"/>
    <w:rsid w:val="00675222"/>
    <w:rsid w:val="00675ABF"/>
    <w:rsid w:val="00677585"/>
    <w:rsid w:val="00677D8B"/>
    <w:rsid w:val="00680DDF"/>
    <w:rsid w:val="00681CAC"/>
    <w:rsid w:val="0068260D"/>
    <w:rsid w:val="00683A79"/>
    <w:rsid w:val="00683EFF"/>
    <w:rsid w:val="00684903"/>
    <w:rsid w:val="00685109"/>
    <w:rsid w:val="00685AE4"/>
    <w:rsid w:val="00686BFE"/>
    <w:rsid w:val="006877F8"/>
    <w:rsid w:val="00690348"/>
    <w:rsid w:val="0069099E"/>
    <w:rsid w:val="00690BF1"/>
    <w:rsid w:val="006915B2"/>
    <w:rsid w:val="00691793"/>
    <w:rsid w:val="00693D60"/>
    <w:rsid w:val="006942A5"/>
    <w:rsid w:val="00694DFC"/>
    <w:rsid w:val="00694ED0"/>
    <w:rsid w:val="00696496"/>
    <w:rsid w:val="00696C55"/>
    <w:rsid w:val="006972B1"/>
    <w:rsid w:val="00697687"/>
    <w:rsid w:val="006979DD"/>
    <w:rsid w:val="00697BFD"/>
    <w:rsid w:val="006A1783"/>
    <w:rsid w:val="006A1A88"/>
    <w:rsid w:val="006A2227"/>
    <w:rsid w:val="006A3129"/>
    <w:rsid w:val="006A4091"/>
    <w:rsid w:val="006A41CC"/>
    <w:rsid w:val="006A5B95"/>
    <w:rsid w:val="006A624A"/>
    <w:rsid w:val="006A6BD4"/>
    <w:rsid w:val="006A6C3D"/>
    <w:rsid w:val="006A770E"/>
    <w:rsid w:val="006A7F70"/>
    <w:rsid w:val="006B079D"/>
    <w:rsid w:val="006B08ED"/>
    <w:rsid w:val="006B0965"/>
    <w:rsid w:val="006B123C"/>
    <w:rsid w:val="006B1291"/>
    <w:rsid w:val="006B1704"/>
    <w:rsid w:val="006B1BC6"/>
    <w:rsid w:val="006B1F17"/>
    <w:rsid w:val="006B20AA"/>
    <w:rsid w:val="006B2A65"/>
    <w:rsid w:val="006B4C79"/>
    <w:rsid w:val="006B5829"/>
    <w:rsid w:val="006B5BFB"/>
    <w:rsid w:val="006B774C"/>
    <w:rsid w:val="006B7D2B"/>
    <w:rsid w:val="006C0225"/>
    <w:rsid w:val="006C0350"/>
    <w:rsid w:val="006C1703"/>
    <w:rsid w:val="006C28BD"/>
    <w:rsid w:val="006C2DAB"/>
    <w:rsid w:val="006C3270"/>
    <w:rsid w:val="006C48EA"/>
    <w:rsid w:val="006C4F3D"/>
    <w:rsid w:val="006C50B8"/>
    <w:rsid w:val="006C5B4B"/>
    <w:rsid w:val="006C7760"/>
    <w:rsid w:val="006C778C"/>
    <w:rsid w:val="006C7E40"/>
    <w:rsid w:val="006D02D1"/>
    <w:rsid w:val="006D2EE8"/>
    <w:rsid w:val="006D4270"/>
    <w:rsid w:val="006D47CE"/>
    <w:rsid w:val="006D565A"/>
    <w:rsid w:val="006D5CF6"/>
    <w:rsid w:val="006D640F"/>
    <w:rsid w:val="006D664F"/>
    <w:rsid w:val="006D7CCD"/>
    <w:rsid w:val="006E0D96"/>
    <w:rsid w:val="006E0E24"/>
    <w:rsid w:val="006E1050"/>
    <w:rsid w:val="006E2176"/>
    <w:rsid w:val="006E2508"/>
    <w:rsid w:val="006E27A3"/>
    <w:rsid w:val="006E2C73"/>
    <w:rsid w:val="006E373E"/>
    <w:rsid w:val="006E3DA4"/>
    <w:rsid w:val="006E3E76"/>
    <w:rsid w:val="006E3F81"/>
    <w:rsid w:val="006E53BA"/>
    <w:rsid w:val="006E61B5"/>
    <w:rsid w:val="006E6C33"/>
    <w:rsid w:val="006E7D99"/>
    <w:rsid w:val="006F0FEA"/>
    <w:rsid w:val="006F13EB"/>
    <w:rsid w:val="006F4FE2"/>
    <w:rsid w:val="006F5026"/>
    <w:rsid w:val="006F50F9"/>
    <w:rsid w:val="006F5AC8"/>
    <w:rsid w:val="006F6361"/>
    <w:rsid w:val="006F63E1"/>
    <w:rsid w:val="006F6CE6"/>
    <w:rsid w:val="006F79AF"/>
    <w:rsid w:val="007009DC"/>
    <w:rsid w:val="00701873"/>
    <w:rsid w:val="00701D4D"/>
    <w:rsid w:val="007025AA"/>
    <w:rsid w:val="00703F98"/>
    <w:rsid w:val="007043A2"/>
    <w:rsid w:val="00705058"/>
    <w:rsid w:val="007051E2"/>
    <w:rsid w:val="00705482"/>
    <w:rsid w:val="007067F3"/>
    <w:rsid w:val="00706EED"/>
    <w:rsid w:val="0070735A"/>
    <w:rsid w:val="007109D5"/>
    <w:rsid w:val="0071152B"/>
    <w:rsid w:val="007119A8"/>
    <w:rsid w:val="007119B2"/>
    <w:rsid w:val="00711B63"/>
    <w:rsid w:val="00711E82"/>
    <w:rsid w:val="00712C11"/>
    <w:rsid w:val="00713B14"/>
    <w:rsid w:val="00713C43"/>
    <w:rsid w:val="007140C7"/>
    <w:rsid w:val="0071478F"/>
    <w:rsid w:val="00714BCE"/>
    <w:rsid w:val="0071565D"/>
    <w:rsid w:val="00715C65"/>
    <w:rsid w:val="00715E06"/>
    <w:rsid w:val="00716C49"/>
    <w:rsid w:val="007170A2"/>
    <w:rsid w:val="00720108"/>
    <w:rsid w:val="007215D6"/>
    <w:rsid w:val="00722D2E"/>
    <w:rsid w:val="00723550"/>
    <w:rsid w:val="007237BC"/>
    <w:rsid w:val="0072392A"/>
    <w:rsid w:val="00723B78"/>
    <w:rsid w:val="00723D5D"/>
    <w:rsid w:val="00724982"/>
    <w:rsid w:val="0072500B"/>
    <w:rsid w:val="00725756"/>
    <w:rsid w:val="00725A99"/>
    <w:rsid w:val="00726293"/>
    <w:rsid w:val="007275DA"/>
    <w:rsid w:val="00727786"/>
    <w:rsid w:val="00730DA9"/>
    <w:rsid w:val="007319E6"/>
    <w:rsid w:val="00731A9E"/>
    <w:rsid w:val="00731FF6"/>
    <w:rsid w:val="0073224B"/>
    <w:rsid w:val="00732C3D"/>
    <w:rsid w:val="00732DE3"/>
    <w:rsid w:val="00732F02"/>
    <w:rsid w:val="007331E3"/>
    <w:rsid w:val="0073336C"/>
    <w:rsid w:val="00733DE4"/>
    <w:rsid w:val="00734758"/>
    <w:rsid w:val="00737E1F"/>
    <w:rsid w:val="007405C5"/>
    <w:rsid w:val="007406C5"/>
    <w:rsid w:val="00740D98"/>
    <w:rsid w:val="0074165C"/>
    <w:rsid w:val="00742855"/>
    <w:rsid w:val="00742AC7"/>
    <w:rsid w:val="007446A8"/>
    <w:rsid w:val="00744DB6"/>
    <w:rsid w:val="00744E49"/>
    <w:rsid w:val="00744FD8"/>
    <w:rsid w:val="00745122"/>
    <w:rsid w:val="00745E44"/>
    <w:rsid w:val="00746C59"/>
    <w:rsid w:val="00747018"/>
    <w:rsid w:val="00747A00"/>
    <w:rsid w:val="00747F84"/>
    <w:rsid w:val="00751364"/>
    <w:rsid w:val="007517EE"/>
    <w:rsid w:val="00752C86"/>
    <w:rsid w:val="0075378D"/>
    <w:rsid w:val="00753B68"/>
    <w:rsid w:val="00754340"/>
    <w:rsid w:val="007546FF"/>
    <w:rsid w:val="00754A50"/>
    <w:rsid w:val="0075581F"/>
    <w:rsid w:val="00755B09"/>
    <w:rsid w:val="007560F0"/>
    <w:rsid w:val="0075699D"/>
    <w:rsid w:val="00757208"/>
    <w:rsid w:val="00757365"/>
    <w:rsid w:val="00757D72"/>
    <w:rsid w:val="00761CC3"/>
    <w:rsid w:val="00762376"/>
    <w:rsid w:val="0076340A"/>
    <w:rsid w:val="0076440C"/>
    <w:rsid w:val="007651FE"/>
    <w:rsid w:val="00765888"/>
    <w:rsid w:val="00766EE6"/>
    <w:rsid w:val="00767248"/>
    <w:rsid w:val="00767745"/>
    <w:rsid w:val="0077010D"/>
    <w:rsid w:val="007705EF"/>
    <w:rsid w:val="00770BB0"/>
    <w:rsid w:val="00771464"/>
    <w:rsid w:val="0077197F"/>
    <w:rsid w:val="007722AA"/>
    <w:rsid w:val="00772601"/>
    <w:rsid w:val="00772A0E"/>
    <w:rsid w:val="007733DB"/>
    <w:rsid w:val="0077373A"/>
    <w:rsid w:val="00773C04"/>
    <w:rsid w:val="0077468D"/>
    <w:rsid w:val="0077672E"/>
    <w:rsid w:val="0077795A"/>
    <w:rsid w:val="00780C38"/>
    <w:rsid w:val="00781899"/>
    <w:rsid w:val="00784A0C"/>
    <w:rsid w:val="00784AA3"/>
    <w:rsid w:val="00785253"/>
    <w:rsid w:val="007862D2"/>
    <w:rsid w:val="0078666A"/>
    <w:rsid w:val="00787008"/>
    <w:rsid w:val="0078742B"/>
    <w:rsid w:val="007875B8"/>
    <w:rsid w:val="00787793"/>
    <w:rsid w:val="00791FF3"/>
    <w:rsid w:val="00792744"/>
    <w:rsid w:val="00793720"/>
    <w:rsid w:val="00793A4F"/>
    <w:rsid w:val="00793BB0"/>
    <w:rsid w:val="00793EBA"/>
    <w:rsid w:val="00795A5C"/>
    <w:rsid w:val="007974A4"/>
    <w:rsid w:val="007A0932"/>
    <w:rsid w:val="007A09DF"/>
    <w:rsid w:val="007A0BA9"/>
    <w:rsid w:val="007A0CF0"/>
    <w:rsid w:val="007A1107"/>
    <w:rsid w:val="007A1249"/>
    <w:rsid w:val="007A24B4"/>
    <w:rsid w:val="007A2ACE"/>
    <w:rsid w:val="007A553C"/>
    <w:rsid w:val="007A6251"/>
    <w:rsid w:val="007A65DF"/>
    <w:rsid w:val="007A6988"/>
    <w:rsid w:val="007A6B80"/>
    <w:rsid w:val="007A7113"/>
    <w:rsid w:val="007A7D73"/>
    <w:rsid w:val="007B0803"/>
    <w:rsid w:val="007B0958"/>
    <w:rsid w:val="007B0C25"/>
    <w:rsid w:val="007B1461"/>
    <w:rsid w:val="007B169B"/>
    <w:rsid w:val="007B23B1"/>
    <w:rsid w:val="007B3B80"/>
    <w:rsid w:val="007B3DFE"/>
    <w:rsid w:val="007B4818"/>
    <w:rsid w:val="007B50C6"/>
    <w:rsid w:val="007B7751"/>
    <w:rsid w:val="007B77FC"/>
    <w:rsid w:val="007C01C8"/>
    <w:rsid w:val="007C0A5B"/>
    <w:rsid w:val="007C215E"/>
    <w:rsid w:val="007C25AE"/>
    <w:rsid w:val="007C26D9"/>
    <w:rsid w:val="007C2F90"/>
    <w:rsid w:val="007C33C1"/>
    <w:rsid w:val="007C3415"/>
    <w:rsid w:val="007C3BDF"/>
    <w:rsid w:val="007C4B72"/>
    <w:rsid w:val="007C5C0A"/>
    <w:rsid w:val="007C60B2"/>
    <w:rsid w:val="007D002D"/>
    <w:rsid w:val="007D1B41"/>
    <w:rsid w:val="007D1C9F"/>
    <w:rsid w:val="007D1FB0"/>
    <w:rsid w:val="007D2170"/>
    <w:rsid w:val="007D2267"/>
    <w:rsid w:val="007D2592"/>
    <w:rsid w:val="007D2E09"/>
    <w:rsid w:val="007D39E5"/>
    <w:rsid w:val="007D3F6F"/>
    <w:rsid w:val="007D4BF6"/>
    <w:rsid w:val="007D501C"/>
    <w:rsid w:val="007D53C0"/>
    <w:rsid w:val="007D5943"/>
    <w:rsid w:val="007D5F34"/>
    <w:rsid w:val="007D637B"/>
    <w:rsid w:val="007D6AD1"/>
    <w:rsid w:val="007D75D5"/>
    <w:rsid w:val="007D7C2E"/>
    <w:rsid w:val="007E0408"/>
    <w:rsid w:val="007E1F20"/>
    <w:rsid w:val="007E2091"/>
    <w:rsid w:val="007E2B72"/>
    <w:rsid w:val="007E30D9"/>
    <w:rsid w:val="007E3248"/>
    <w:rsid w:val="007E3668"/>
    <w:rsid w:val="007E4ACF"/>
    <w:rsid w:val="007E69D5"/>
    <w:rsid w:val="007F1E90"/>
    <w:rsid w:val="007F36F1"/>
    <w:rsid w:val="007F58F3"/>
    <w:rsid w:val="007F6D27"/>
    <w:rsid w:val="007F7ACD"/>
    <w:rsid w:val="008011F0"/>
    <w:rsid w:val="00801822"/>
    <w:rsid w:val="0080257B"/>
    <w:rsid w:val="00802853"/>
    <w:rsid w:val="00803B9B"/>
    <w:rsid w:val="00804991"/>
    <w:rsid w:val="00804A66"/>
    <w:rsid w:val="0080585A"/>
    <w:rsid w:val="00805EB9"/>
    <w:rsid w:val="008064FF"/>
    <w:rsid w:val="00806E20"/>
    <w:rsid w:val="00810135"/>
    <w:rsid w:val="00810941"/>
    <w:rsid w:val="0081156A"/>
    <w:rsid w:val="00812679"/>
    <w:rsid w:val="00812E61"/>
    <w:rsid w:val="00812F6D"/>
    <w:rsid w:val="0081307C"/>
    <w:rsid w:val="00813B2E"/>
    <w:rsid w:val="00813F90"/>
    <w:rsid w:val="00814722"/>
    <w:rsid w:val="00816E59"/>
    <w:rsid w:val="00817955"/>
    <w:rsid w:val="00817E19"/>
    <w:rsid w:val="00820AF6"/>
    <w:rsid w:val="00820B85"/>
    <w:rsid w:val="00820C57"/>
    <w:rsid w:val="00821745"/>
    <w:rsid w:val="00821D32"/>
    <w:rsid w:val="00821F88"/>
    <w:rsid w:val="008220DA"/>
    <w:rsid w:val="0082296E"/>
    <w:rsid w:val="00823D3B"/>
    <w:rsid w:val="00825335"/>
    <w:rsid w:val="008253A5"/>
    <w:rsid w:val="00826765"/>
    <w:rsid w:val="00826D7A"/>
    <w:rsid w:val="008277CE"/>
    <w:rsid w:val="00827ACD"/>
    <w:rsid w:val="00830695"/>
    <w:rsid w:val="00830A07"/>
    <w:rsid w:val="0083126A"/>
    <w:rsid w:val="0083191F"/>
    <w:rsid w:val="00831A01"/>
    <w:rsid w:val="00831E99"/>
    <w:rsid w:val="00832832"/>
    <w:rsid w:val="00832833"/>
    <w:rsid w:val="00832B67"/>
    <w:rsid w:val="00833963"/>
    <w:rsid w:val="00833BAB"/>
    <w:rsid w:val="00833C04"/>
    <w:rsid w:val="008343F9"/>
    <w:rsid w:val="008348D7"/>
    <w:rsid w:val="00836617"/>
    <w:rsid w:val="008367E1"/>
    <w:rsid w:val="00840326"/>
    <w:rsid w:val="00840626"/>
    <w:rsid w:val="008406DF"/>
    <w:rsid w:val="00840EA0"/>
    <w:rsid w:val="00840F1F"/>
    <w:rsid w:val="00843149"/>
    <w:rsid w:val="00844961"/>
    <w:rsid w:val="00846EE0"/>
    <w:rsid w:val="00847756"/>
    <w:rsid w:val="008478DD"/>
    <w:rsid w:val="0085079F"/>
    <w:rsid w:val="00850C30"/>
    <w:rsid w:val="00850CB1"/>
    <w:rsid w:val="00850EF3"/>
    <w:rsid w:val="00850FD9"/>
    <w:rsid w:val="00851763"/>
    <w:rsid w:val="00851AF3"/>
    <w:rsid w:val="008520B7"/>
    <w:rsid w:val="008523E1"/>
    <w:rsid w:val="00852C41"/>
    <w:rsid w:val="00852CB4"/>
    <w:rsid w:val="00853CCB"/>
    <w:rsid w:val="008548D4"/>
    <w:rsid w:val="00855020"/>
    <w:rsid w:val="008553DE"/>
    <w:rsid w:val="008561F5"/>
    <w:rsid w:val="00856526"/>
    <w:rsid w:val="0085686A"/>
    <w:rsid w:val="00856882"/>
    <w:rsid w:val="00856BD7"/>
    <w:rsid w:val="00856D5B"/>
    <w:rsid w:val="00857F71"/>
    <w:rsid w:val="008605CF"/>
    <w:rsid w:val="0086082F"/>
    <w:rsid w:val="0086142D"/>
    <w:rsid w:val="00861D98"/>
    <w:rsid w:val="00863BD2"/>
    <w:rsid w:val="00864124"/>
    <w:rsid w:val="0086484C"/>
    <w:rsid w:val="00865295"/>
    <w:rsid w:val="0086599B"/>
    <w:rsid w:val="00866594"/>
    <w:rsid w:val="00866887"/>
    <w:rsid w:val="00867318"/>
    <w:rsid w:val="00867B96"/>
    <w:rsid w:val="00870614"/>
    <w:rsid w:val="008706E6"/>
    <w:rsid w:val="0087104D"/>
    <w:rsid w:val="00871C9A"/>
    <w:rsid w:val="008729CC"/>
    <w:rsid w:val="008738E4"/>
    <w:rsid w:val="00874BAC"/>
    <w:rsid w:val="00874CD9"/>
    <w:rsid w:val="00874E04"/>
    <w:rsid w:val="0087633D"/>
    <w:rsid w:val="00876662"/>
    <w:rsid w:val="0087775E"/>
    <w:rsid w:val="0087777C"/>
    <w:rsid w:val="00877E6C"/>
    <w:rsid w:val="00880D25"/>
    <w:rsid w:val="00881742"/>
    <w:rsid w:val="00881A7C"/>
    <w:rsid w:val="00881AE2"/>
    <w:rsid w:val="00882844"/>
    <w:rsid w:val="00882A89"/>
    <w:rsid w:val="00883168"/>
    <w:rsid w:val="0088393C"/>
    <w:rsid w:val="00883C95"/>
    <w:rsid w:val="00884486"/>
    <w:rsid w:val="00884A40"/>
    <w:rsid w:val="008857DB"/>
    <w:rsid w:val="00885D38"/>
    <w:rsid w:val="00885F74"/>
    <w:rsid w:val="008860F4"/>
    <w:rsid w:val="00886250"/>
    <w:rsid w:val="008869FC"/>
    <w:rsid w:val="00886A30"/>
    <w:rsid w:val="00887018"/>
    <w:rsid w:val="008873D0"/>
    <w:rsid w:val="008876DA"/>
    <w:rsid w:val="008903C2"/>
    <w:rsid w:val="00890CFC"/>
    <w:rsid w:val="0089107D"/>
    <w:rsid w:val="0089127C"/>
    <w:rsid w:val="00891370"/>
    <w:rsid w:val="0089159A"/>
    <w:rsid w:val="00891EFC"/>
    <w:rsid w:val="008920E0"/>
    <w:rsid w:val="00892983"/>
    <w:rsid w:val="008936D3"/>
    <w:rsid w:val="008937DF"/>
    <w:rsid w:val="0089382C"/>
    <w:rsid w:val="008939F2"/>
    <w:rsid w:val="00895915"/>
    <w:rsid w:val="00895D04"/>
    <w:rsid w:val="00896651"/>
    <w:rsid w:val="00896A5C"/>
    <w:rsid w:val="008A100C"/>
    <w:rsid w:val="008A1D6F"/>
    <w:rsid w:val="008A260A"/>
    <w:rsid w:val="008A29FF"/>
    <w:rsid w:val="008A2BE9"/>
    <w:rsid w:val="008A31C1"/>
    <w:rsid w:val="008A4503"/>
    <w:rsid w:val="008A4686"/>
    <w:rsid w:val="008A4770"/>
    <w:rsid w:val="008A4E4A"/>
    <w:rsid w:val="008A510B"/>
    <w:rsid w:val="008A5CB4"/>
    <w:rsid w:val="008A5CC5"/>
    <w:rsid w:val="008A6D33"/>
    <w:rsid w:val="008A7839"/>
    <w:rsid w:val="008B020E"/>
    <w:rsid w:val="008B0BCD"/>
    <w:rsid w:val="008B1F11"/>
    <w:rsid w:val="008B2AE3"/>
    <w:rsid w:val="008B2EF3"/>
    <w:rsid w:val="008B3460"/>
    <w:rsid w:val="008B3C03"/>
    <w:rsid w:val="008B4072"/>
    <w:rsid w:val="008B49BD"/>
    <w:rsid w:val="008B4F90"/>
    <w:rsid w:val="008B5F43"/>
    <w:rsid w:val="008B6C84"/>
    <w:rsid w:val="008B7AEA"/>
    <w:rsid w:val="008C0FC4"/>
    <w:rsid w:val="008C18E8"/>
    <w:rsid w:val="008C1AC9"/>
    <w:rsid w:val="008C27FB"/>
    <w:rsid w:val="008C4714"/>
    <w:rsid w:val="008C4F51"/>
    <w:rsid w:val="008C5448"/>
    <w:rsid w:val="008C5DCC"/>
    <w:rsid w:val="008C5E05"/>
    <w:rsid w:val="008C6294"/>
    <w:rsid w:val="008C729D"/>
    <w:rsid w:val="008C75AD"/>
    <w:rsid w:val="008D0212"/>
    <w:rsid w:val="008D0A68"/>
    <w:rsid w:val="008D1036"/>
    <w:rsid w:val="008D1D09"/>
    <w:rsid w:val="008D28A4"/>
    <w:rsid w:val="008D2BF4"/>
    <w:rsid w:val="008D2EC7"/>
    <w:rsid w:val="008D34A2"/>
    <w:rsid w:val="008D59A8"/>
    <w:rsid w:val="008D686B"/>
    <w:rsid w:val="008E0C98"/>
    <w:rsid w:val="008E0EE6"/>
    <w:rsid w:val="008E16D8"/>
    <w:rsid w:val="008E1EF8"/>
    <w:rsid w:val="008E2829"/>
    <w:rsid w:val="008E2843"/>
    <w:rsid w:val="008E354E"/>
    <w:rsid w:val="008E3895"/>
    <w:rsid w:val="008E48F6"/>
    <w:rsid w:val="008E4944"/>
    <w:rsid w:val="008E4E16"/>
    <w:rsid w:val="008E680B"/>
    <w:rsid w:val="008E6C17"/>
    <w:rsid w:val="008E7009"/>
    <w:rsid w:val="008E7BDA"/>
    <w:rsid w:val="008E7C8C"/>
    <w:rsid w:val="008F0258"/>
    <w:rsid w:val="008F170D"/>
    <w:rsid w:val="008F198F"/>
    <w:rsid w:val="008F2588"/>
    <w:rsid w:val="008F4594"/>
    <w:rsid w:val="008F495C"/>
    <w:rsid w:val="008F64B3"/>
    <w:rsid w:val="008F761F"/>
    <w:rsid w:val="0090041C"/>
    <w:rsid w:val="00900584"/>
    <w:rsid w:val="00901534"/>
    <w:rsid w:val="0090226E"/>
    <w:rsid w:val="00902388"/>
    <w:rsid w:val="00903522"/>
    <w:rsid w:val="0090388A"/>
    <w:rsid w:val="00903942"/>
    <w:rsid w:val="00903E10"/>
    <w:rsid w:val="0090559D"/>
    <w:rsid w:val="00905729"/>
    <w:rsid w:val="009067F9"/>
    <w:rsid w:val="00907BE1"/>
    <w:rsid w:val="009107F5"/>
    <w:rsid w:val="009110FA"/>
    <w:rsid w:val="00911A13"/>
    <w:rsid w:val="00911DF2"/>
    <w:rsid w:val="00911EF7"/>
    <w:rsid w:val="00912BA6"/>
    <w:rsid w:val="0091340F"/>
    <w:rsid w:val="009137D1"/>
    <w:rsid w:val="00913FDB"/>
    <w:rsid w:val="00914897"/>
    <w:rsid w:val="00915140"/>
    <w:rsid w:val="00915EC0"/>
    <w:rsid w:val="00916258"/>
    <w:rsid w:val="00916674"/>
    <w:rsid w:val="009168B5"/>
    <w:rsid w:val="00917D79"/>
    <w:rsid w:val="0092065B"/>
    <w:rsid w:val="00921BC8"/>
    <w:rsid w:val="009238C1"/>
    <w:rsid w:val="00924F12"/>
    <w:rsid w:val="009308F1"/>
    <w:rsid w:val="00931ED3"/>
    <w:rsid w:val="009322C4"/>
    <w:rsid w:val="009349D3"/>
    <w:rsid w:val="00936405"/>
    <w:rsid w:val="0093728C"/>
    <w:rsid w:val="0093738B"/>
    <w:rsid w:val="009375AE"/>
    <w:rsid w:val="00937CCB"/>
    <w:rsid w:val="009406A0"/>
    <w:rsid w:val="00940825"/>
    <w:rsid w:val="009411E8"/>
    <w:rsid w:val="009422B9"/>
    <w:rsid w:val="00944906"/>
    <w:rsid w:val="00945919"/>
    <w:rsid w:val="00947747"/>
    <w:rsid w:val="00947C98"/>
    <w:rsid w:val="0095023F"/>
    <w:rsid w:val="00950561"/>
    <w:rsid w:val="009516DD"/>
    <w:rsid w:val="00952ED5"/>
    <w:rsid w:val="0095322F"/>
    <w:rsid w:val="00955610"/>
    <w:rsid w:val="00956184"/>
    <w:rsid w:val="00957AF2"/>
    <w:rsid w:val="00957B08"/>
    <w:rsid w:val="009609A8"/>
    <w:rsid w:val="00960A75"/>
    <w:rsid w:val="00960CB3"/>
    <w:rsid w:val="00961886"/>
    <w:rsid w:val="00963CD8"/>
    <w:rsid w:val="00964372"/>
    <w:rsid w:val="00964DCF"/>
    <w:rsid w:val="00967311"/>
    <w:rsid w:val="00967AFA"/>
    <w:rsid w:val="00970335"/>
    <w:rsid w:val="00970A64"/>
    <w:rsid w:val="00970F43"/>
    <w:rsid w:val="00971313"/>
    <w:rsid w:val="009724E2"/>
    <w:rsid w:val="00972AB1"/>
    <w:rsid w:val="00972BFB"/>
    <w:rsid w:val="0097301F"/>
    <w:rsid w:val="0097343F"/>
    <w:rsid w:val="00973544"/>
    <w:rsid w:val="0097377A"/>
    <w:rsid w:val="00974612"/>
    <w:rsid w:val="00974643"/>
    <w:rsid w:val="00975C47"/>
    <w:rsid w:val="00976C69"/>
    <w:rsid w:val="009804B9"/>
    <w:rsid w:val="0098368C"/>
    <w:rsid w:val="00984645"/>
    <w:rsid w:val="00985491"/>
    <w:rsid w:val="009861B8"/>
    <w:rsid w:val="00986854"/>
    <w:rsid w:val="00986DA8"/>
    <w:rsid w:val="009901A4"/>
    <w:rsid w:val="009913CC"/>
    <w:rsid w:val="0099204A"/>
    <w:rsid w:val="009938BB"/>
    <w:rsid w:val="009944A8"/>
    <w:rsid w:val="00994AAE"/>
    <w:rsid w:val="00996183"/>
    <w:rsid w:val="00996719"/>
    <w:rsid w:val="00997F03"/>
    <w:rsid w:val="009A0A63"/>
    <w:rsid w:val="009A19FF"/>
    <w:rsid w:val="009A2295"/>
    <w:rsid w:val="009A42D2"/>
    <w:rsid w:val="009A4683"/>
    <w:rsid w:val="009A4886"/>
    <w:rsid w:val="009A4A5D"/>
    <w:rsid w:val="009A57EF"/>
    <w:rsid w:val="009A6068"/>
    <w:rsid w:val="009A704F"/>
    <w:rsid w:val="009B0469"/>
    <w:rsid w:val="009B0787"/>
    <w:rsid w:val="009B0A6C"/>
    <w:rsid w:val="009B0EB4"/>
    <w:rsid w:val="009B399A"/>
    <w:rsid w:val="009B529B"/>
    <w:rsid w:val="009B593E"/>
    <w:rsid w:val="009B5DFE"/>
    <w:rsid w:val="009B64E8"/>
    <w:rsid w:val="009B6651"/>
    <w:rsid w:val="009B67B3"/>
    <w:rsid w:val="009B69DA"/>
    <w:rsid w:val="009B6BCD"/>
    <w:rsid w:val="009B6EEF"/>
    <w:rsid w:val="009B7733"/>
    <w:rsid w:val="009C0256"/>
    <w:rsid w:val="009C073E"/>
    <w:rsid w:val="009C0E6C"/>
    <w:rsid w:val="009C1889"/>
    <w:rsid w:val="009C213D"/>
    <w:rsid w:val="009C349C"/>
    <w:rsid w:val="009C3851"/>
    <w:rsid w:val="009C39C3"/>
    <w:rsid w:val="009C42BD"/>
    <w:rsid w:val="009C45A3"/>
    <w:rsid w:val="009C4CCC"/>
    <w:rsid w:val="009C4E84"/>
    <w:rsid w:val="009C4FBD"/>
    <w:rsid w:val="009C5296"/>
    <w:rsid w:val="009C61DC"/>
    <w:rsid w:val="009C6424"/>
    <w:rsid w:val="009C7D33"/>
    <w:rsid w:val="009D04A0"/>
    <w:rsid w:val="009D10B8"/>
    <w:rsid w:val="009D2476"/>
    <w:rsid w:val="009D2772"/>
    <w:rsid w:val="009D28E3"/>
    <w:rsid w:val="009D3379"/>
    <w:rsid w:val="009D3857"/>
    <w:rsid w:val="009D3CDE"/>
    <w:rsid w:val="009D4817"/>
    <w:rsid w:val="009D6B56"/>
    <w:rsid w:val="009D6C26"/>
    <w:rsid w:val="009D6E59"/>
    <w:rsid w:val="009E3229"/>
    <w:rsid w:val="009E3485"/>
    <w:rsid w:val="009E38CA"/>
    <w:rsid w:val="009E45B9"/>
    <w:rsid w:val="009E4769"/>
    <w:rsid w:val="009E4C37"/>
    <w:rsid w:val="009E5CB2"/>
    <w:rsid w:val="009E5D81"/>
    <w:rsid w:val="009E6213"/>
    <w:rsid w:val="009E687E"/>
    <w:rsid w:val="009E74F6"/>
    <w:rsid w:val="009F1A19"/>
    <w:rsid w:val="009F1B39"/>
    <w:rsid w:val="009F1BE0"/>
    <w:rsid w:val="009F1F1E"/>
    <w:rsid w:val="009F290C"/>
    <w:rsid w:val="009F2AC9"/>
    <w:rsid w:val="009F3FFC"/>
    <w:rsid w:val="009F4FFC"/>
    <w:rsid w:val="009F5B81"/>
    <w:rsid w:val="009F5CAD"/>
    <w:rsid w:val="009F5FF9"/>
    <w:rsid w:val="009F692B"/>
    <w:rsid w:val="009F7306"/>
    <w:rsid w:val="00A00C35"/>
    <w:rsid w:val="00A00CFD"/>
    <w:rsid w:val="00A01314"/>
    <w:rsid w:val="00A015FC"/>
    <w:rsid w:val="00A016F6"/>
    <w:rsid w:val="00A02001"/>
    <w:rsid w:val="00A020CE"/>
    <w:rsid w:val="00A02195"/>
    <w:rsid w:val="00A036DE"/>
    <w:rsid w:val="00A03817"/>
    <w:rsid w:val="00A039CD"/>
    <w:rsid w:val="00A03BA5"/>
    <w:rsid w:val="00A054A4"/>
    <w:rsid w:val="00A05AAC"/>
    <w:rsid w:val="00A05AC2"/>
    <w:rsid w:val="00A0670E"/>
    <w:rsid w:val="00A06F39"/>
    <w:rsid w:val="00A1050A"/>
    <w:rsid w:val="00A10962"/>
    <w:rsid w:val="00A116AD"/>
    <w:rsid w:val="00A128AC"/>
    <w:rsid w:val="00A12E6D"/>
    <w:rsid w:val="00A132C2"/>
    <w:rsid w:val="00A1380C"/>
    <w:rsid w:val="00A1468D"/>
    <w:rsid w:val="00A14B15"/>
    <w:rsid w:val="00A158B1"/>
    <w:rsid w:val="00A15913"/>
    <w:rsid w:val="00A17B89"/>
    <w:rsid w:val="00A20A58"/>
    <w:rsid w:val="00A2158C"/>
    <w:rsid w:val="00A23FD6"/>
    <w:rsid w:val="00A24D81"/>
    <w:rsid w:val="00A25B77"/>
    <w:rsid w:val="00A26B6D"/>
    <w:rsid w:val="00A27599"/>
    <w:rsid w:val="00A27C42"/>
    <w:rsid w:val="00A30105"/>
    <w:rsid w:val="00A30DEB"/>
    <w:rsid w:val="00A3119E"/>
    <w:rsid w:val="00A3171F"/>
    <w:rsid w:val="00A337F7"/>
    <w:rsid w:val="00A33A95"/>
    <w:rsid w:val="00A33C39"/>
    <w:rsid w:val="00A3427D"/>
    <w:rsid w:val="00A347E4"/>
    <w:rsid w:val="00A348B2"/>
    <w:rsid w:val="00A34ED4"/>
    <w:rsid w:val="00A355D0"/>
    <w:rsid w:val="00A35A16"/>
    <w:rsid w:val="00A35FE6"/>
    <w:rsid w:val="00A368E6"/>
    <w:rsid w:val="00A371BD"/>
    <w:rsid w:val="00A373BB"/>
    <w:rsid w:val="00A40202"/>
    <w:rsid w:val="00A40AA6"/>
    <w:rsid w:val="00A414E0"/>
    <w:rsid w:val="00A41566"/>
    <w:rsid w:val="00A41656"/>
    <w:rsid w:val="00A421C8"/>
    <w:rsid w:val="00A42BAC"/>
    <w:rsid w:val="00A44703"/>
    <w:rsid w:val="00A44E75"/>
    <w:rsid w:val="00A456B9"/>
    <w:rsid w:val="00A459B3"/>
    <w:rsid w:val="00A45A85"/>
    <w:rsid w:val="00A45BAB"/>
    <w:rsid w:val="00A4722A"/>
    <w:rsid w:val="00A47649"/>
    <w:rsid w:val="00A47CE9"/>
    <w:rsid w:val="00A47D19"/>
    <w:rsid w:val="00A50E6A"/>
    <w:rsid w:val="00A515FD"/>
    <w:rsid w:val="00A51940"/>
    <w:rsid w:val="00A52383"/>
    <w:rsid w:val="00A52E4C"/>
    <w:rsid w:val="00A55067"/>
    <w:rsid w:val="00A55DC4"/>
    <w:rsid w:val="00A563D7"/>
    <w:rsid w:val="00A5727A"/>
    <w:rsid w:val="00A5784E"/>
    <w:rsid w:val="00A57A03"/>
    <w:rsid w:val="00A600DB"/>
    <w:rsid w:val="00A60DBD"/>
    <w:rsid w:val="00A62D5F"/>
    <w:rsid w:val="00A62DAB"/>
    <w:rsid w:val="00A62EBF"/>
    <w:rsid w:val="00A6349E"/>
    <w:rsid w:val="00A63AD8"/>
    <w:rsid w:val="00A63D46"/>
    <w:rsid w:val="00A63F79"/>
    <w:rsid w:val="00A655F9"/>
    <w:rsid w:val="00A66200"/>
    <w:rsid w:val="00A66F8D"/>
    <w:rsid w:val="00A66FAA"/>
    <w:rsid w:val="00A723BD"/>
    <w:rsid w:val="00A729A1"/>
    <w:rsid w:val="00A72DBE"/>
    <w:rsid w:val="00A734A9"/>
    <w:rsid w:val="00A75A0D"/>
    <w:rsid w:val="00A75B4C"/>
    <w:rsid w:val="00A76368"/>
    <w:rsid w:val="00A76475"/>
    <w:rsid w:val="00A764C1"/>
    <w:rsid w:val="00A76989"/>
    <w:rsid w:val="00A76F2C"/>
    <w:rsid w:val="00A76FE4"/>
    <w:rsid w:val="00A7765B"/>
    <w:rsid w:val="00A77DA9"/>
    <w:rsid w:val="00A77F64"/>
    <w:rsid w:val="00A80949"/>
    <w:rsid w:val="00A81C0E"/>
    <w:rsid w:val="00A8234B"/>
    <w:rsid w:val="00A84488"/>
    <w:rsid w:val="00A84858"/>
    <w:rsid w:val="00A84F61"/>
    <w:rsid w:val="00A84F6F"/>
    <w:rsid w:val="00A87503"/>
    <w:rsid w:val="00A9044F"/>
    <w:rsid w:val="00A90B27"/>
    <w:rsid w:val="00A92CA1"/>
    <w:rsid w:val="00A932E8"/>
    <w:rsid w:val="00A946FF"/>
    <w:rsid w:val="00A94D75"/>
    <w:rsid w:val="00A9507A"/>
    <w:rsid w:val="00A956ED"/>
    <w:rsid w:val="00A96EC3"/>
    <w:rsid w:val="00A97490"/>
    <w:rsid w:val="00AA042E"/>
    <w:rsid w:val="00AA073B"/>
    <w:rsid w:val="00AA1260"/>
    <w:rsid w:val="00AA16F3"/>
    <w:rsid w:val="00AA2E63"/>
    <w:rsid w:val="00AA3B84"/>
    <w:rsid w:val="00AA4219"/>
    <w:rsid w:val="00AA4A4B"/>
    <w:rsid w:val="00AA5255"/>
    <w:rsid w:val="00AA5EF5"/>
    <w:rsid w:val="00AA5F01"/>
    <w:rsid w:val="00AA66CB"/>
    <w:rsid w:val="00AA6785"/>
    <w:rsid w:val="00AA7299"/>
    <w:rsid w:val="00AA791F"/>
    <w:rsid w:val="00AB107F"/>
    <w:rsid w:val="00AB10EF"/>
    <w:rsid w:val="00AB2340"/>
    <w:rsid w:val="00AB240D"/>
    <w:rsid w:val="00AB2ACA"/>
    <w:rsid w:val="00AB37B7"/>
    <w:rsid w:val="00AB3B3F"/>
    <w:rsid w:val="00AB4161"/>
    <w:rsid w:val="00AB418C"/>
    <w:rsid w:val="00AB4A08"/>
    <w:rsid w:val="00AB4D2F"/>
    <w:rsid w:val="00AB5427"/>
    <w:rsid w:val="00AB5685"/>
    <w:rsid w:val="00AB606C"/>
    <w:rsid w:val="00AB62DE"/>
    <w:rsid w:val="00AB6345"/>
    <w:rsid w:val="00AB6631"/>
    <w:rsid w:val="00AB6A24"/>
    <w:rsid w:val="00AB74D5"/>
    <w:rsid w:val="00AC03C3"/>
    <w:rsid w:val="00AC0963"/>
    <w:rsid w:val="00AC16FC"/>
    <w:rsid w:val="00AC21C2"/>
    <w:rsid w:val="00AC2EFF"/>
    <w:rsid w:val="00AC3B1C"/>
    <w:rsid w:val="00AC4A23"/>
    <w:rsid w:val="00AC4E96"/>
    <w:rsid w:val="00AC5489"/>
    <w:rsid w:val="00AC6A0B"/>
    <w:rsid w:val="00AC6EED"/>
    <w:rsid w:val="00AC7C5B"/>
    <w:rsid w:val="00AD0289"/>
    <w:rsid w:val="00AD069B"/>
    <w:rsid w:val="00AD24A6"/>
    <w:rsid w:val="00AD2996"/>
    <w:rsid w:val="00AD526D"/>
    <w:rsid w:val="00AD5E99"/>
    <w:rsid w:val="00AD6615"/>
    <w:rsid w:val="00AD7C3D"/>
    <w:rsid w:val="00AD7C43"/>
    <w:rsid w:val="00AE030D"/>
    <w:rsid w:val="00AE0A19"/>
    <w:rsid w:val="00AE333C"/>
    <w:rsid w:val="00AE348F"/>
    <w:rsid w:val="00AE3799"/>
    <w:rsid w:val="00AE41B1"/>
    <w:rsid w:val="00AE4BC5"/>
    <w:rsid w:val="00AE4DBB"/>
    <w:rsid w:val="00AE584C"/>
    <w:rsid w:val="00AE750A"/>
    <w:rsid w:val="00AE7522"/>
    <w:rsid w:val="00AE75F0"/>
    <w:rsid w:val="00AE77DC"/>
    <w:rsid w:val="00AE7F03"/>
    <w:rsid w:val="00AF0609"/>
    <w:rsid w:val="00AF0C13"/>
    <w:rsid w:val="00AF1DD0"/>
    <w:rsid w:val="00AF238A"/>
    <w:rsid w:val="00AF24AD"/>
    <w:rsid w:val="00AF3198"/>
    <w:rsid w:val="00AF36F2"/>
    <w:rsid w:val="00AF3BA4"/>
    <w:rsid w:val="00AF45DB"/>
    <w:rsid w:val="00AF5FAA"/>
    <w:rsid w:val="00AF6BBC"/>
    <w:rsid w:val="00AF6EC9"/>
    <w:rsid w:val="00AF797D"/>
    <w:rsid w:val="00B0058D"/>
    <w:rsid w:val="00B00AB8"/>
    <w:rsid w:val="00B02B6C"/>
    <w:rsid w:val="00B03A31"/>
    <w:rsid w:val="00B03FAA"/>
    <w:rsid w:val="00B0493D"/>
    <w:rsid w:val="00B054D3"/>
    <w:rsid w:val="00B05CBF"/>
    <w:rsid w:val="00B06ADB"/>
    <w:rsid w:val="00B07CA9"/>
    <w:rsid w:val="00B110B2"/>
    <w:rsid w:val="00B110CD"/>
    <w:rsid w:val="00B1215D"/>
    <w:rsid w:val="00B13727"/>
    <w:rsid w:val="00B1373F"/>
    <w:rsid w:val="00B13D8D"/>
    <w:rsid w:val="00B1557A"/>
    <w:rsid w:val="00B1666A"/>
    <w:rsid w:val="00B16746"/>
    <w:rsid w:val="00B16FDA"/>
    <w:rsid w:val="00B1703E"/>
    <w:rsid w:val="00B1715A"/>
    <w:rsid w:val="00B20527"/>
    <w:rsid w:val="00B205F4"/>
    <w:rsid w:val="00B209BD"/>
    <w:rsid w:val="00B20B50"/>
    <w:rsid w:val="00B214E7"/>
    <w:rsid w:val="00B21532"/>
    <w:rsid w:val="00B219E5"/>
    <w:rsid w:val="00B21FD1"/>
    <w:rsid w:val="00B2214C"/>
    <w:rsid w:val="00B221E0"/>
    <w:rsid w:val="00B23DC0"/>
    <w:rsid w:val="00B240AC"/>
    <w:rsid w:val="00B24E90"/>
    <w:rsid w:val="00B26861"/>
    <w:rsid w:val="00B27500"/>
    <w:rsid w:val="00B27A1B"/>
    <w:rsid w:val="00B304FC"/>
    <w:rsid w:val="00B30512"/>
    <w:rsid w:val="00B32029"/>
    <w:rsid w:val="00B3224D"/>
    <w:rsid w:val="00B32659"/>
    <w:rsid w:val="00B333FB"/>
    <w:rsid w:val="00B33506"/>
    <w:rsid w:val="00B336E5"/>
    <w:rsid w:val="00B34266"/>
    <w:rsid w:val="00B34428"/>
    <w:rsid w:val="00B3589D"/>
    <w:rsid w:val="00B35CDC"/>
    <w:rsid w:val="00B36A91"/>
    <w:rsid w:val="00B36E53"/>
    <w:rsid w:val="00B37159"/>
    <w:rsid w:val="00B374CA"/>
    <w:rsid w:val="00B40A4D"/>
    <w:rsid w:val="00B40BE7"/>
    <w:rsid w:val="00B40D00"/>
    <w:rsid w:val="00B4104F"/>
    <w:rsid w:val="00B411D3"/>
    <w:rsid w:val="00B41595"/>
    <w:rsid w:val="00B41AD4"/>
    <w:rsid w:val="00B41C6E"/>
    <w:rsid w:val="00B4269E"/>
    <w:rsid w:val="00B42799"/>
    <w:rsid w:val="00B427DB"/>
    <w:rsid w:val="00B42A48"/>
    <w:rsid w:val="00B43736"/>
    <w:rsid w:val="00B4531D"/>
    <w:rsid w:val="00B45E0A"/>
    <w:rsid w:val="00B468A5"/>
    <w:rsid w:val="00B4705F"/>
    <w:rsid w:val="00B471F2"/>
    <w:rsid w:val="00B47CD8"/>
    <w:rsid w:val="00B5025D"/>
    <w:rsid w:val="00B50B9D"/>
    <w:rsid w:val="00B52B32"/>
    <w:rsid w:val="00B532CA"/>
    <w:rsid w:val="00B534BA"/>
    <w:rsid w:val="00B556BB"/>
    <w:rsid w:val="00B609D3"/>
    <w:rsid w:val="00B61597"/>
    <w:rsid w:val="00B615CA"/>
    <w:rsid w:val="00B61D89"/>
    <w:rsid w:val="00B62F6A"/>
    <w:rsid w:val="00B64234"/>
    <w:rsid w:val="00B648A9"/>
    <w:rsid w:val="00B64B6E"/>
    <w:rsid w:val="00B663D0"/>
    <w:rsid w:val="00B70BD1"/>
    <w:rsid w:val="00B7126B"/>
    <w:rsid w:val="00B7131F"/>
    <w:rsid w:val="00B719BE"/>
    <w:rsid w:val="00B74039"/>
    <w:rsid w:val="00B74973"/>
    <w:rsid w:val="00B7533D"/>
    <w:rsid w:val="00B7576A"/>
    <w:rsid w:val="00B75F99"/>
    <w:rsid w:val="00B7726D"/>
    <w:rsid w:val="00B77307"/>
    <w:rsid w:val="00B77E21"/>
    <w:rsid w:val="00B82CC5"/>
    <w:rsid w:val="00B8385A"/>
    <w:rsid w:val="00B84498"/>
    <w:rsid w:val="00B85EB2"/>
    <w:rsid w:val="00B85ED6"/>
    <w:rsid w:val="00B87003"/>
    <w:rsid w:val="00B873AB"/>
    <w:rsid w:val="00B8758B"/>
    <w:rsid w:val="00B90C1F"/>
    <w:rsid w:val="00B90D37"/>
    <w:rsid w:val="00B921DF"/>
    <w:rsid w:val="00B92434"/>
    <w:rsid w:val="00B94D3B"/>
    <w:rsid w:val="00B95038"/>
    <w:rsid w:val="00B95953"/>
    <w:rsid w:val="00B96326"/>
    <w:rsid w:val="00B965DB"/>
    <w:rsid w:val="00B97666"/>
    <w:rsid w:val="00BA12AB"/>
    <w:rsid w:val="00BA2842"/>
    <w:rsid w:val="00BA2FBE"/>
    <w:rsid w:val="00BA3269"/>
    <w:rsid w:val="00BA4218"/>
    <w:rsid w:val="00BA579B"/>
    <w:rsid w:val="00BA63B0"/>
    <w:rsid w:val="00BA70A8"/>
    <w:rsid w:val="00BA7118"/>
    <w:rsid w:val="00BA79B7"/>
    <w:rsid w:val="00BA7FB3"/>
    <w:rsid w:val="00BB0629"/>
    <w:rsid w:val="00BB0EFC"/>
    <w:rsid w:val="00BB12B2"/>
    <w:rsid w:val="00BB344A"/>
    <w:rsid w:val="00BB361C"/>
    <w:rsid w:val="00BB387A"/>
    <w:rsid w:val="00BB40C2"/>
    <w:rsid w:val="00BB44DC"/>
    <w:rsid w:val="00BB6303"/>
    <w:rsid w:val="00BB6F53"/>
    <w:rsid w:val="00BB6FB3"/>
    <w:rsid w:val="00BB6FD6"/>
    <w:rsid w:val="00BB7215"/>
    <w:rsid w:val="00BB7B53"/>
    <w:rsid w:val="00BB7BCA"/>
    <w:rsid w:val="00BC04C6"/>
    <w:rsid w:val="00BC10A2"/>
    <w:rsid w:val="00BC1114"/>
    <w:rsid w:val="00BC1596"/>
    <w:rsid w:val="00BC1C0B"/>
    <w:rsid w:val="00BC232C"/>
    <w:rsid w:val="00BC393D"/>
    <w:rsid w:val="00BC42C7"/>
    <w:rsid w:val="00BC4EE1"/>
    <w:rsid w:val="00BC6089"/>
    <w:rsid w:val="00BC61FD"/>
    <w:rsid w:val="00BC6C7A"/>
    <w:rsid w:val="00BC6D23"/>
    <w:rsid w:val="00BC7B11"/>
    <w:rsid w:val="00BC7FBF"/>
    <w:rsid w:val="00BD0A2A"/>
    <w:rsid w:val="00BD0BC4"/>
    <w:rsid w:val="00BD0DDE"/>
    <w:rsid w:val="00BD0F7A"/>
    <w:rsid w:val="00BD10A5"/>
    <w:rsid w:val="00BD11FA"/>
    <w:rsid w:val="00BD15E0"/>
    <w:rsid w:val="00BD246F"/>
    <w:rsid w:val="00BD2A1A"/>
    <w:rsid w:val="00BD2A79"/>
    <w:rsid w:val="00BD3D95"/>
    <w:rsid w:val="00BD4148"/>
    <w:rsid w:val="00BD4832"/>
    <w:rsid w:val="00BD4D36"/>
    <w:rsid w:val="00BD532B"/>
    <w:rsid w:val="00BD59B2"/>
    <w:rsid w:val="00BD748E"/>
    <w:rsid w:val="00BD7CD5"/>
    <w:rsid w:val="00BE15A5"/>
    <w:rsid w:val="00BE2E6C"/>
    <w:rsid w:val="00BE315A"/>
    <w:rsid w:val="00BE3A19"/>
    <w:rsid w:val="00BE4B5A"/>
    <w:rsid w:val="00BE53FD"/>
    <w:rsid w:val="00BE5696"/>
    <w:rsid w:val="00BE58AB"/>
    <w:rsid w:val="00BE5C01"/>
    <w:rsid w:val="00BE6900"/>
    <w:rsid w:val="00BF0949"/>
    <w:rsid w:val="00BF0E90"/>
    <w:rsid w:val="00BF183A"/>
    <w:rsid w:val="00BF1E6C"/>
    <w:rsid w:val="00BF2F16"/>
    <w:rsid w:val="00BF3589"/>
    <w:rsid w:val="00BF3CED"/>
    <w:rsid w:val="00BF52FE"/>
    <w:rsid w:val="00BF7418"/>
    <w:rsid w:val="00BF7AEE"/>
    <w:rsid w:val="00BF7FCC"/>
    <w:rsid w:val="00BF7FD6"/>
    <w:rsid w:val="00C004BF"/>
    <w:rsid w:val="00C00667"/>
    <w:rsid w:val="00C01A25"/>
    <w:rsid w:val="00C01BD6"/>
    <w:rsid w:val="00C0299F"/>
    <w:rsid w:val="00C0538B"/>
    <w:rsid w:val="00C05476"/>
    <w:rsid w:val="00C076CE"/>
    <w:rsid w:val="00C07F18"/>
    <w:rsid w:val="00C12401"/>
    <w:rsid w:val="00C12AE9"/>
    <w:rsid w:val="00C12F49"/>
    <w:rsid w:val="00C12F50"/>
    <w:rsid w:val="00C1359C"/>
    <w:rsid w:val="00C13669"/>
    <w:rsid w:val="00C137F0"/>
    <w:rsid w:val="00C13D6F"/>
    <w:rsid w:val="00C14019"/>
    <w:rsid w:val="00C14A2E"/>
    <w:rsid w:val="00C14A4F"/>
    <w:rsid w:val="00C1508F"/>
    <w:rsid w:val="00C162C7"/>
    <w:rsid w:val="00C16C81"/>
    <w:rsid w:val="00C16FE9"/>
    <w:rsid w:val="00C175CB"/>
    <w:rsid w:val="00C20242"/>
    <w:rsid w:val="00C218E7"/>
    <w:rsid w:val="00C21D4F"/>
    <w:rsid w:val="00C227FA"/>
    <w:rsid w:val="00C22B2E"/>
    <w:rsid w:val="00C22B74"/>
    <w:rsid w:val="00C23049"/>
    <w:rsid w:val="00C23DC9"/>
    <w:rsid w:val="00C2409F"/>
    <w:rsid w:val="00C248D2"/>
    <w:rsid w:val="00C2518F"/>
    <w:rsid w:val="00C2560A"/>
    <w:rsid w:val="00C25918"/>
    <w:rsid w:val="00C25961"/>
    <w:rsid w:val="00C2600D"/>
    <w:rsid w:val="00C2611F"/>
    <w:rsid w:val="00C2663D"/>
    <w:rsid w:val="00C27DE7"/>
    <w:rsid w:val="00C3043D"/>
    <w:rsid w:val="00C304D7"/>
    <w:rsid w:val="00C30B75"/>
    <w:rsid w:val="00C310B9"/>
    <w:rsid w:val="00C3126C"/>
    <w:rsid w:val="00C3127E"/>
    <w:rsid w:val="00C316B8"/>
    <w:rsid w:val="00C322EC"/>
    <w:rsid w:val="00C33001"/>
    <w:rsid w:val="00C3361E"/>
    <w:rsid w:val="00C33F90"/>
    <w:rsid w:val="00C3520D"/>
    <w:rsid w:val="00C3662C"/>
    <w:rsid w:val="00C401A3"/>
    <w:rsid w:val="00C4113A"/>
    <w:rsid w:val="00C4434E"/>
    <w:rsid w:val="00C44C72"/>
    <w:rsid w:val="00C45247"/>
    <w:rsid w:val="00C45359"/>
    <w:rsid w:val="00C4646C"/>
    <w:rsid w:val="00C46FB9"/>
    <w:rsid w:val="00C479B0"/>
    <w:rsid w:val="00C47F9B"/>
    <w:rsid w:val="00C50DCB"/>
    <w:rsid w:val="00C50E1B"/>
    <w:rsid w:val="00C51B3F"/>
    <w:rsid w:val="00C51C6B"/>
    <w:rsid w:val="00C51EBE"/>
    <w:rsid w:val="00C53298"/>
    <w:rsid w:val="00C5397B"/>
    <w:rsid w:val="00C55053"/>
    <w:rsid w:val="00C550D0"/>
    <w:rsid w:val="00C554A4"/>
    <w:rsid w:val="00C56002"/>
    <w:rsid w:val="00C5624E"/>
    <w:rsid w:val="00C56891"/>
    <w:rsid w:val="00C56B01"/>
    <w:rsid w:val="00C56CFA"/>
    <w:rsid w:val="00C57F28"/>
    <w:rsid w:val="00C63D4E"/>
    <w:rsid w:val="00C65D2C"/>
    <w:rsid w:val="00C66456"/>
    <w:rsid w:val="00C66D42"/>
    <w:rsid w:val="00C66E88"/>
    <w:rsid w:val="00C67379"/>
    <w:rsid w:val="00C67B3D"/>
    <w:rsid w:val="00C67BA8"/>
    <w:rsid w:val="00C70B77"/>
    <w:rsid w:val="00C72CB5"/>
    <w:rsid w:val="00C72E05"/>
    <w:rsid w:val="00C731A5"/>
    <w:rsid w:val="00C7377F"/>
    <w:rsid w:val="00C74598"/>
    <w:rsid w:val="00C751CF"/>
    <w:rsid w:val="00C7555D"/>
    <w:rsid w:val="00C75A5C"/>
    <w:rsid w:val="00C766E7"/>
    <w:rsid w:val="00C76F5F"/>
    <w:rsid w:val="00C774C8"/>
    <w:rsid w:val="00C77503"/>
    <w:rsid w:val="00C77BD0"/>
    <w:rsid w:val="00C800D0"/>
    <w:rsid w:val="00C80CBA"/>
    <w:rsid w:val="00C80D74"/>
    <w:rsid w:val="00C8241E"/>
    <w:rsid w:val="00C8327A"/>
    <w:rsid w:val="00C83506"/>
    <w:rsid w:val="00C837BF"/>
    <w:rsid w:val="00C83978"/>
    <w:rsid w:val="00C8446B"/>
    <w:rsid w:val="00C85364"/>
    <w:rsid w:val="00C869DB"/>
    <w:rsid w:val="00C86F79"/>
    <w:rsid w:val="00C870F7"/>
    <w:rsid w:val="00C87BB4"/>
    <w:rsid w:val="00C87BF6"/>
    <w:rsid w:val="00C90B46"/>
    <w:rsid w:val="00C91225"/>
    <w:rsid w:val="00C9167C"/>
    <w:rsid w:val="00C91A4D"/>
    <w:rsid w:val="00C91CDF"/>
    <w:rsid w:val="00C91F36"/>
    <w:rsid w:val="00C9307D"/>
    <w:rsid w:val="00C93191"/>
    <w:rsid w:val="00C934FC"/>
    <w:rsid w:val="00C93778"/>
    <w:rsid w:val="00C94720"/>
    <w:rsid w:val="00C959F1"/>
    <w:rsid w:val="00C96DC0"/>
    <w:rsid w:val="00C971EB"/>
    <w:rsid w:val="00C97FDF"/>
    <w:rsid w:val="00CA0341"/>
    <w:rsid w:val="00CA039A"/>
    <w:rsid w:val="00CA0B04"/>
    <w:rsid w:val="00CA120E"/>
    <w:rsid w:val="00CA1997"/>
    <w:rsid w:val="00CA2C4B"/>
    <w:rsid w:val="00CA2CE3"/>
    <w:rsid w:val="00CA4828"/>
    <w:rsid w:val="00CA4CAF"/>
    <w:rsid w:val="00CA56FE"/>
    <w:rsid w:val="00CA5F87"/>
    <w:rsid w:val="00CA5FAF"/>
    <w:rsid w:val="00CA657B"/>
    <w:rsid w:val="00CA6E5E"/>
    <w:rsid w:val="00CA7E6C"/>
    <w:rsid w:val="00CB11A1"/>
    <w:rsid w:val="00CB11CD"/>
    <w:rsid w:val="00CB1606"/>
    <w:rsid w:val="00CB21FC"/>
    <w:rsid w:val="00CB4094"/>
    <w:rsid w:val="00CB4A66"/>
    <w:rsid w:val="00CB4D7B"/>
    <w:rsid w:val="00CB6B35"/>
    <w:rsid w:val="00CB79FC"/>
    <w:rsid w:val="00CB7DA7"/>
    <w:rsid w:val="00CC1079"/>
    <w:rsid w:val="00CC1A1E"/>
    <w:rsid w:val="00CC1CF2"/>
    <w:rsid w:val="00CC2240"/>
    <w:rsid w:val="00CC230D"/>
    <w:rsid w:val="00CC2BDA"/>
    <w:rsid w:val="00CC2D82"/>
    <w:rsid w:val="00CC3994"/>
    <w:rsid w:val="00CC40B4"/>
    <w:rsid w:val="00CC5DF7"/>
    <w:rsid w:val="00CC695E"/>
    <w:rsid w:val="00CC717A"/>
    <w:rsid w:val="00CC7462"/>
    <w:rsid w:val="00CC7637"/>
    <w:rsid w:val="00CC7A20"/>
    <w:rsid w:val="00CC7A8D"/>
    <w:rsid w:val="00CC7D71"/>
    <w:rsid w:val="00CD20B5"/>
    <w:rsid w:val="00CD363B"/>
    <w:rsid w:val="00CD5671"/>
    <w:rsid w:val="00CD5912"/>
    <w:rsid w:val="00CD5D54"/>
    <w:rsid w:val="00CD65F8"/>
    <w:rsid w:val="00CD720F"/>
    <w:rsid w:val="00CD7687"/>
    <w:rsid w:val="00CD7D28"/>
    <w:rsid w:val="00CE0060"/>
    <w:rsid w:val="00CE0CEF"/>
    <w:rsid w:val="00CE1FBC"/>
    <w:rsid w:val="00CE394B"/>
    <w:rsid w:val="00CE3989"/>
    <w:rsid w:val="00CE463B"/>
    <w:rsid w:val="00CE47DB"/>
    <w:rsid w:val="00CE485E"/>
    <w:rsid w:val="00CE50B9"/>
    <w:rsid w:val="00CE5B01"/>
    <w:rsid w:val="00CF0C0F"/>
    <w:rsid w:val="00CF0CBA"/>
    <w:rsid w:val="00CF0CF7"/>
    <w:rsid w:val="00CF1817"/>
    <w:rsid w:val="00CF1D1E"/>
    <w:rsid w:val="00CF1D40"/>
    <w:rsid w:val="00CF1EDA"/>
    <w:rsid w:val="00CF2201"/>
    <w:rsid w:val="00CF24E6"/>
    <w:rsid w:val="00CF26B2"/>
    <w:rsid w:val="00CF3F26"/>
    <w:rsid w:val="00CF570D"/>
    <w:rsid w:val="00CF5E93"/>
    <w:rsid w:val="00CF620E"/>
    <w:rsid w:val="00CF71DD"/>
    <w:rsid w:val="00D00F3F"/>
    <w:rsid w:val="00D036A2"/>
    <w:rsid w:val="00D03B6D"/>
    <w:rsid w:val="00D042E7"/>
    <w:rsid w:val="00D0438A"/>
    <w:rsid w:val="00D044C0"/>
    <w:rsid w:val="00D04BC5"/>
    <w:rsid w:val="00D05549"/>
    <w:rsid w:val="00D06B67"/>
    <w:rsid w:val="00D06BF4"/>
    <w:rsid w:val="00D06C85"/>
    <w:rsid w:val="00D06D41"/>
    <w:rsid w:val="00D06DD3"/>
    <w:rsid w:val="00D0743A"/>
    <w:rsid w:val="00D07C31"/>
    <w:rsid w:val="00D10048"/>
    <w:rsid w:val="00D102A2"/>
    <w:rsid w:val="00D11D26"/>
    <w:rsid w:val="00D11FA9"/>
    <w:rsid w:val="00D12426"/>
    <w:rsid w:val="00D13F8E"/>
    <w:rsid w:val="00D144CA"/>
    <w:rsid w:val="00D1466C"/>
    <w:rsid w:val="00D14E1C"/>
    <w:rsid w:val="00D16E61"/>
    <w:rsid w:val="00D17A1D"/>
    <w:rsid w:val="00D2016D"/>
    <w:rsid w:val="00D20195"/>
    <w:rsid w:val="00D2056D"/>
    <w:rsid w:val="00D21378"/>
    <w:rsid w:val="00D21DA8"/>
    <w:rsid w:val="00D22708"/>
    <w:rsid w:val="00D24B16"/>
    <w:rsid w:val="00D24C02"/>
    <w:rsid w:val="00D24ED5"/>
    <w:rsid w:val="00D25A9D"/>
    <w:rsid w:val="00D25F0B"/>
    <w:rsid w:val="00D2644F"/>
    <w:rsid w:val="00D26EDB"/>
    <w:rsid w:val="00D271D9"/>
    <w:rsid w:val="00D300E8"/>
    <w:rsid w:val="00D30937"/>
    <w:rsid w:val="00D30B02"/>
    <w:rsid w:val="00D30BEC"/>
    <w:rsid w:val="00D31435"/>
    <w:rsid w:val="00D31850"/>
    <w:rsid w:val="00D32614"/>
    <w:rsid w:val="00D32C76"/>
    <w:rsid w:val="00D331AD"/>
    <w:rsid w:val="00D33275"/>
    <w:rsid w:val="00D33C92"/>
    <w:rsid w:val="00D33D2C"/>
    <w:rsid w:val="00D3430D"/>
    <w:rsid w:val="00D34BB5"/>
    <w:rsid w:val="00D35AC5"/>
    <w:rsid w:val="00D36470"/>
    <w:rsid w:val="00D405FE"/>
    <w:rsid w:val="00D40FF7"/>
    <w:rsid w:val="00D410AA"/>
    <w:rsid w:val="00D41AE4"/>
    <w:rsid w:val="00D426D5"/>
    <w:rsid w:val="00D427DD"/>
    <w:rsid w:val="00D43441"/>
    <w:rsid w:val="00D4374B"/>
    <w:rsid w:val="00D44984"/>
    <w:rsid w:val="00D44DF1"/>
    <w:rsid w:val="00D452F9"/>
    <w:rsid w:val="00D459FE"/>
    <w:rsid w:val="00D46FB3"/>
    <w:rsid w:val="00D477FD"/>
    <w:rsid w:val="00D4793C"/>
    <w:rsid w:val="00D503A4"/>
    <w:rsid w:val="00D50B29"/>
    <w:rsid w:val="00D50CA8"/>
    <w:rsid w:val="00D516CA"/>
    <w:rsid w:val="00D51DD6"/>
    <w:rsid w:val="00D524D2"/>
    <w:rsid w:val="00D52E6C"/>
    <w:rsid w:val="00D53545"/>
    <w:rsid w:val="00D53A51"/>
    <w:rsid w:val="00D53DC9"/>
    <w:rsid w:val="00D55E2C"/>
    <w:rsid w:val="00D560DB"/>
    <w:rsid w:val="00D567C6"/>
    <w:rsid w:val="00D56C56"/>
    <w:rsid w:val="00D573C0"/>
    <w:rsid w:val="00D57CFD"/>
    <w:rsid w:val="00D609AE"/>
    <w:rsid w:val="00D610C1"/>
    <w:rsid w:val="00D61225"/>
    <w:rsid w:val="00D61593"/>
    <w:rsid w:val="00D618A2"/>
    <w:rsid w:val="00D61E92"/>
    <w:rsid w:val="00D62AA3"/>
    <w:rsid w:val="00D62B76"/>
    <w:rsid w:val="00D63839"/>
    <w:rsid w:val="00D655B1"/>
    <w:rsid w:val="00D667B1"/>
    <w:rsid w:val="00D66A37"/>
    <w:rsid w:val="00D67459"/>
    <w:rsid w:val="00D67FDB"/>
    <w:rsid w:val="00D701B7"/>
    <w:rsid w:val="00D70D49"/>
    <w:rsid w:val="00D71124"/>
    <w:rsid w:val="00D71533"/>
    <w:rsid w:val="00D72603"/>
    <w:rsid w:val="00D7298C"/>
    <w:rsid w:val="00D7369C"/>
    <w:rsid w:val="00D73A65"/>
    <w:rsid w:val="00D7612D"/>
    <w:rsid w:val="00D77D63"/>
    <w:rsid w:val="00D77DA5"/>
    <w:rsid w:val="00D80855"/>
    <w:rsid w:val="00D80885"/>
    <w:rsid w:val="00D80A5B"/>
    <w:rsid w:val="00D8166B"/>
    <w:rsid w:val="00D82E1B"/>
    <w:rsid w:val="00D8417C"/>
    <w:rsid w:val="00D8541E"/>
    <w:rsid w:val="00D85CBC"/>
    <w:rsid w:val="00D86715"/>
    <w:rsid w:val="00D87BB8"/>
    <w:rsid w:val="00D87CC1"/>
    <w:rsid w:val="00D90035"/>
    <w:rsid w:val="00D92BFF"/>
    <w:rsid w:val="00D938AD"/>
    <w:rsid w:val="00D94E67"/>
    <w:rsid w:val="00D95036"/>
    <w:rsid w:val="00D95F6A"/>
    <w:rsid w:val="00D968C5"/>
    <w:rsid w:val="00D97463"/>
    <w:rsid w:val="00D97A4A"/>
    <w:rsid w:val="00DA0471"/>
    <w:rsid w:val="00DA14DC"/>
    <w:rsid w:val="00DA445C"/>
    <w:rsid w:val="00DA5655"/>
    <w:rsid w:val="00DA5670"/>
    <w:rsid w:val="00DA5B7B"/>
    <w:rsid w:val="00DA661B"/>
    <w:rsid w:val="00DA6F5E"/>
    <w:rsid w:val="00DA784D"/>
    <w:rsid w:val="00DB064F"/>
    <w:rsid w:val="00DB199F"/>
    <w:rsid w:val="00DB210A"/>
    <w:rsid w:val="00DB299A"/>
    <w:rsid w:val="00DB2CC9"/>
    <w:rsid w:val="00DB2FB4"/>
    <w:rsid w:val="00DB32A2"/>
    <w:rsid w:val="00DB38F0"/>
    <w:rsid w:val="00DB4362"/>
    <w:rsid w:val="00DB44FC"/>
    <w:rsid w:val="00DB4A1A"/>
    <w:rsid w:val="00DB52F4"/>
    <w:rsid w:val="00DB55E1"/>
    <w:rsid w:val="00DB6314"/>
    <w:rsid w:val="00DB78AF"/>
    <w:rsid w:val="00DC52A0"/>
    <w:rsid w:val="00DC6C3B"/>
    <w:rsid w:val="00DC6F6C"/>
    <w:rsid w:val="00DC7A46"/>
    <w:rsid w:val="00DD0464"/>
    <w:rsid w:val="00DD06AB"/>
    <w:rsid w:val="00DD09B9"/>
    <w:rsid w:val="00DD1A8D"/>
    <w:rsid w:val="00DD2A10"/>
    <w:rsid w:val="00DD30E8"/>
    <w:rsid w:val="00DD5ADE"/>
    <w:rsid w:val="00DD61D8"/>
    <w:rsid w:val="00DD70D4"/>
    <w:rsid w:val="00DD7415"/>
    <w:rsid w:val="00DD74D1"/>
    <w:rsid w:val="00DE0E94"/>
    <w:rsid w:val="00DE1128"/>
    <w:rsid w:val="00DE1239"/>
    <w:rsid w:val="00DE1C90"/>
    <w:rsid w:val="00DE1F4D"/>
    <w:rsid w:val="00DE34C6"/>
    <w:rsid w:val="00DE3BAF"/>
    <w:rsid w:val="00DE4314"/>
    <w:rsid w:val="00DE4A12"/>
    <w:rsid w:val="00DE504C"/>
    <w:rsid w:val="00DE607A"/>
    <w:rsid w:val="00DE6566"/>
    <w:rsid w:val="00DE6E18"/>
    <w:rsid w:val="00DE784D"/>
    <w:rsid w:val="00DE7A71"/>
    <w:rsid w:val="00DF094B"/>
    <w:rsid w:val="00DF10DC"/>
    <w:rsid w:val="00DF18CC"/>
    <w:rsid w:val="00DF262B"/>
    <w:rsid w:val="00DF2D11"/>
    <w:rsid w:val="00DF4404"/>
    <w:rsid w:val="00DF597B"/>
    <w:rsid w:val="00DF65AA"/>
    <w:rsid w:val="00DF669F"/>
    <w:rsid w:val="00DF6F4B"/>
    <w:rsid w:val="00E00507"/>
    <w:rsid w:val="00E00DDC"/>
    <w:rsid w:val="00E01EA0"/>
    <w:rsid w:val="00E01F8D"/>
    <w:rsid w:val="00E036F2"/>
    <w:rsid w:val="00E039DF"/>
    <w:rsid w:val="00E03C32"/>
    <w:rsid w:val="00E03CCB"/>
    <w:rsid w:val="00E03D75"/>
    <w:rsid w:val="00E0411A"/>
    <w:rsid w:val="00E0467D"/>
    <w:rsid w:val="00E05367"/>
    <w:rsid w:val="00E06118"/>
    <w:rsid w:val="00E06931"/>
    <w:rsid w:val="00E06CB8"/>
    <w:rsid w:val="00E0720B"/>
    <w:rsid w:val="00E07F51"/>
    <w:rsid w:val="00E1074F"/>
    <w:rsid w:val="00E126B8"/>
    <w:rsid w:val="00E1334E"/>
    <w:rsid w:val="00E13D53"/>
    <w:rsid w:val="00E14C4D"/>
    <w:rsid w:val="00E1553B"/>
    <w:rsid w:val="00E15AB3"/>
    <w:rsid w:val="00E1651A"/>
    <w:rsid w:val="00E21E43"/>
    <w:rsid w:val="00E2233E"/>
    <w:rsid w:val="00E268C3"/>
    <w:rsid w:val="00E26B02"/>
    <w:rsid w:val="00E301EC"/>
    <w:rsid w:val="00E30D42"/>
    <w:rsid w:val="00E30E59"/>
    <w:rsid w:val="00E3433A"/>
    <w:rsid w:val="00E344CC"/>
    <w:rsid w:val="00E349CB"/>
    <w:rsid w:val="00E36089"/>
    <w:rsid w:val="00E361A3"/>
    <w:rsid w:val="00E3661B"/>
    <w:rsid w:val="00E367A7"/>
    <w:rsid w:val="00E36A51"/>
    <w:rsid w:val="00E3762C"/>
    <w:rsid w:val="00E37991"/>
    <w:rsid w:val="00E37FCF"/>
    <w:rsid w:val="00E40734"/>
    <w:rsid w:val="00E40802"/>
    <w:rsid w:val="00E412C4"/>
    <w:rsid w:val="00E41E78"/>
    <w:rsid w:val="00E42758"/>
    <w:rsid w:val="00E42C29"/>
    <w:rsid w:val="00E43616"/>
    <w:rsid w:val="00E43697"/>
    <w:rsid w:val="00E4378A"/>
    <w:rsid w:val="00E43B11"/>
    <w:rsid w:val="00E43DDB"/>
    <w:rsid w:val="00E4401E"/>
    <w:rsid w:val="00E44707"/>
    <w:rsid w:val="00E455D4"/>
    <w:rsid w:val="00E458F4"/>
    <w:rsid w:val="00E45FAF"/>
    <w:rsid w:val="00E46F0C"/>
    <w:rsid w:val="00E47006"/>
    <w:rsid w:val="00E471FD"/>
    <w:rsid w:val="00E47517"/>
    <w:rsid w:val="00E4777B"/>
    <w:rsid w:val="00E47916"/>
    <w:rsid w:val="00E47C67"/>
    <w:rsid w:val="00E47E4C"/>
    <w:rsid w:val="00E50FB7"/>
    <w:rsid w:val="00E51290"/>
    <w:rsid w:val="00E51317"/>
    <w:rsid w:val="00E519CF"/>
    <w:rsid w:val="00E52894"/>
    <w:rsid w:val="00E52F10"/>
    <w:rsid w:val="00E53955"/>
    <w:rsid w:val="00E54D0D"/>
    <w:rsid w:val="00E54DDD"/>
    <w:rsid w:val="00E55CFD"/>
    <w:rsid w:val="00E56208"/>
    <w:rsid w:val="00E56847"/>
    <w:rsid w:val="00E56B89"/>
    <w:rsid w:val="00E57116"/>
    <w:rsid w:val="00E578F8"/>
    <w:rsid w:val="00E57A54"/>
    <w:rsid w:val="00E60024"/>
    <w:rsid w:val="00E6040B"/>
    <w:rsid w:val="00E60A34"/>
    <w:rsid w:val="00E61568"/>
    <w:rsid w:val="00E62C96"/>
    <w:rsid w:val="00E62F50"/>
    <w:rsid w:val="00E63BBD"/>
    <w:rsid w:val="00E6498E"/>
    <w:rsid w:val="00E650DC"/>
    <w:rsid w:val="00E653BE"/>
    <w:rsid w:val="00E65C22"/>
    <w:rsid w:val="00E67249"/>
    <w:rsid w:val="00E6785B"/>
    <w:rsid w:val="00E67935"/>
    <w:rsid w:val="00E7041A"/>
    <w:rsid w:val="00E710DA"/>
    <w:rsid w:val="00E713D3"/>
    <w:rsid w:val="00E714CC"/>
    <w:rsid w:val="00E7200B"/>
    <w:rsid w:val="00E7210D"/>
    <w:rsid w:val="00E72EE1"/>
    <w:rsid w:val="00E7358F"/>
    <w:rsid w:val="00E74ACC"/>
    <w:rsid w:val="00E74E75"/>
    <w:rsid w:val="00E74FBB"/>
    <w:rsid w:val="00E76BA2"/>
    <w:rsid w:val="00E77EAB"/>
    <w:rsid w:val="00E802E2"/>
    <w:rsid w:val="00E80EF3"/>
    <w:rsid w:val="00E82017"/>
    <w:rsid w:val="00E82829"/>
    <w:rsid w:val="00E82D07"/>
    <w:rsid w:val="00E83F63"/>
    <w:rsid w:val="00E853BE"/>
    <w:rsid w:val="00E86AE2"/>
    <w:rsid w:val="00E86EC3"/>
    <w:rsid w:val="00E9003B"/>
    <w:rsid w:val="00E92171"/>
    <w:rsid w:val="00E929C5"/>
    <w:rsid w:val="00E92C41"/>
    <w:rsid w:val="00E93079"/>
    <w:rsid w:val="00E93DDA"/>
    <w:rsid w:val="00E9487A"/>
    <w:rsid w:val="00E953D1"/>
    <w:rsid w:val="00E95D65"/>
    <w:rsid w:val="00E95E9C"/>
    <w:rsid w:val="00E96986"/>
    <w:rsid w:val="00E9784B"/>
    <w:rsid w:val="00E97C19"/>
    <w:rsid w:val="00EA01B4"/>
    <w:rsid w:val="00EA061D"/>
    <w:rsid w:val="00EA06B6"/>
    <w:rsid w:val="00EA0F7C"/>
    <w:rsid w:val="00EA2670"/>
    <w:rsid w:val="00EA38AE"/>
    <w:rsid w:val="00EA3B1E"/>
    <w:rsid w:val="00EA3F19"/>
    <w:rsid w:val="00EA4109"/>
    <w:rsid w:val="00EA432A"/>
    <w:rsid w:val="00EA4382"/>
    <w:rsid w:val="00EA64E8"/>
    <w:rsid w:val="00EA7998"/>
    <w:rsid w:val="00EA7EC0"/>
    <w:rsid w:val="00EB086D"/>
    <w:rsid w:val="00EB0AB3"/>
    <w:rsid w:val="00EB2CF7"/>
    <w:rsid w:val="00EB4842"/>
    <w:rsid w:val="00EB587F"/>
    <w:rsid w:val="00EB5CF0"/>
    <w:rsid w:val="00EB688D"/>
    <w:rsid w:val="00EB68C0"/>
    <w:rsid w:val="00EC0105"/>
    <w:rsid w:val="00EC06C7"/>
    <w:rsid w:val="00EC0AC1"/>
    <w:rsid w:val="00EC0BA9"/>
    <w:rsid w:val="00EC0BBF"/>
    <w:rsid w:val="00EC1F0C"/>
    <w:rsid w:val="00EC3280"/>
    <w:rsid w:val="00EC3592"/>
    <w:rsid w:val="00EC3F56"/>
    <w:rsid w:val="00EC4A8F"/>
    <w:rsid w:val="00EC58B0"/>
    <w:rsid w:val="00EC5DC5"/>
    <w:rsid w:val="00EC778E"/>
    <w:rsid w:val="00ED197A"/>
    <w:rsid w:val="00ED216A"/>
    <w:rsid w:val="00ED274C"/>
    <w:rsid w:val="00ED2841"/>
    <w:rsid w:val="00ED28FF"/>
    <w:rsid w:val="00ED3960"/>
    <w:rsid w:val="00ED3BA6"/>
    <w:rsid w:val="00ED3F7B"/>
    <w:rsid w:val="00ED3FAD"/>
    <w:rsid w:val="00ED4153"/>
    <w:rsid w:val="00ED487F"/>
    <w:rsid w:val="00ED4C0B"/>
    <w:rsid w:val="00ED6879"/>
    <w:rsid w:val="00ED7BCB"/>
    <w:rsid w:val="00EE2439"/>
    <w:rsid w:val="00EE3651"/>
    <w:rsid w:val="00EE389F"/>
    <w:rsid w:val="00EE3F12"/>
    <w:rsid w:val="00EE49A0"/>
    <w:rsid w:val="00EE4CE2"/>
    <w:rsid w:val="00EE5316"/>
    <w:rsid w:val="00EE5A9F"/>
    <w:rsid w:val="00EE6CB4"/>
    <w:rsid w:val="00EE71D7"/>
    <w:rsid w:val="00EE7571"/>
    <w:rsid w:val="00EE7CDB"/>
    <w:rsid w:val="00EF0535"/>
    <w:rsid w:val="00EF118E"/>
    <w:rsid w:val="00EF3323"/>
    <w:rsid w:val="00EF383D"/>
    <w:rsid w:val="00EF3A6C"/>
    <w:rsid w:val="00EF4148"/>
    <w:rsid w:val="00EF43D3"/>
    <w:rsid w:val="00EF4AD6"/>
    <w:rsid w:val="00EF58C9"/>
    <w:rsid w:val="00EF7510"/>
    <w:rsid w:val="00F00FF3"/>
    <w:rsid w:val="00F03B53"/>
    <w:rsid w:val="00F040A1"/>
    <w:rsid w:val="00F040B6"/>
    <w:rsid w:val="00F050E6"/>
    <w:rsid w:val="00F05AEC"/>
    <w:rsid w:val="00F05DAE"/>
    <w:rsid w:val="00F06C26"/>
    <w:rsid w:val="00F06D38"/>
    <w:rsid w:val="00F1005A"/>
    <w:rsid w:val="00F111D4"/>
    <w:rsid w:val="00F1123A"/>
    <w:rsid w:val="00F113BA"/>
    <w:rsid w:val="00F115F0"/>
    <w:rsid w:val="00F116EE"/>
    <w:rsid w:val="00F12584"/>
    <w:rsid w:val="00F135F5"/>
    <w:rsid w:val="00F138A3"/>
    <w:rsid w:val="00F138CA"/>
    <w:rsid w:val="00F14506"/>
    <w:rsid w:val="00F15E77"/>
    <w:rsid w:val="00F16172"/>
    <w:rsid w:val="00F177B3"/>
    <w:rsid w:val="00F20C7A"/>
    <w:rsid w:val="00F20F71"/>
    <w:rsid w:val="00F2128A"/>
    <w:rsid w:val="00F21631"/>
    <w:rsid w:val="00F2442B"/>
    <w:rsid w:val="00F2577E"/>
    <w:rsid w:val="00F25D45"/>
    <w:rsid w:val="00F2677A"/>
    <w:rsid w:val="00F27A6B"/>
    <w:rsid w:val="00F304C2"/>
    <w:rsid w:val="00F306E8"/>
    <w:rsid w:val="00F314F0"/>
    <w:rsid w:val="00F317DF"/>
    <w:rsid w:val="00F34E3F"/>
    <w:rsid w:val="00F35292"/>
    <w:rsid w:val="00F35F78"/>
    <w:rsid w:val="00F36B04"/>
    <w:rsid w:val="00F36DD5"/>
    <w:rsid w:val="00F36EC5"/>
    <w:rsid w:val="00F37461"/>
    <w:rsid w:val="00F4106F"/>
    <w:rsid w:val="00F410BF"/>
    <w:rsid w:val="00F41494"/>
    <w:rsid w:val="00F418D7"/>
    <w:rsid w:val="00F41A2E"/>
    <w:rsid w:val="00F42077"/>
    <w:rsid w:val="00F421DD"/>
    <w:rsid w:val="00F43655"/>
    <w:rsid w:val="00F43ECE"/>
    <w:rsid w:val="00F4472E"/>
    <w:rsid w:val="00F45C20"/>
    <w:rsid w:val="00F45C2B"/>
    <w:rsid w:val="00F46111"/>
    <w:rsid w:val="00F46750"/>
    <w:rsid w:val="00F479B9"/>
    <w:rsid w:val="00F47E0C"/>
    <w:rsid w:val="00F50D63"/>
    <w:rsid w:val="00F52EA0"/>
    <w:rsid w:val="00F53754"/>
    <w:rsid w:val="00F53882"/>
    <w:rsid w:val="00F55082"/>
    <w:rsid w:val="00F55384"/>
    <w:rsid w:val="00F554B2"/>
    <w:rsid w:val="00F56019"/>
    <w:rsid w:val="00F56330"/>
    <w:rsid w:val="00F5665D"/>
    <w:rsid w:val="00F5669D"/>
    <w:rsid w:val="00F603DB"/>
    <w:rsid w:val="00F6052E"/>
    <w:rsid w:val="00F6069A"/>
    <w:rsid w:val="00F60822"/>
    <w:rsid w:val="00F60F70"/>
    <w:rsid w:val="00F617B5"/>
    <w:rsid w:val="00F634BA"/>
    <w:rsid w:val="00F6392E"/>
    <w:rsid w:val="00F63AA2"/>
    <w:rsid w:val="00F63FC9"/>
    <w:rsid w:val="00F66682"/>
    <w:rsid w:val="00F66AFE"/>
    <w:rsid w:val="00F671E1"/>
    <w:rsid w:val="00F67E45"/>
    <w:rsid w:val="00F70E6F"/>
    <w:rsid w:val="00F72740"/>
    <w:rsid w:val="00F72B20"/>
    <w:rsid w:val="00F770D3"/>
    <w:rsid w:val="00F77444"/>
    <w:rsid w:val="00F7786E"/>
    <w:rsid w:val="00F77DA9"/>
    <w:rsid w:val="00F77E75"/>
    <w:rsid w:val="00F80519"/>
    <w:rsid w:val="00F82654"/>
    <w:rsid w:val="00F8424E"/>
    <w:rsid w:val="00F85173"/>
    <w:rsid w:val="00F853ED"/>
    <w:rsid w:val="00F87522"/>
    <w:rsid w:val="00F9078D"/>
    <w:rsid w:val="00F909B4"/>
    <w:rsid w:val="00F91555"/>
    <w:rsid w:val="00F91B05"/>
    <w:rsid w:val="00F91BD2"/>
    <w:rsid w:val="00F92E5B"/>
    <w:rsid w:val="00F94227"/>
    <w:rsid w:val="00F94BEE"/>
    <w:rsid w:val="00F94FB9"/>
    <w:rsid w:val="00F95030"/>
    <w:rsid w:val="00F9514E"/>
    <w:rsid w:val="00F951A9"/>
    <w:rsid w:val="00F96042"/>
    <w:rsid w:val="00F96303"/>
    <w:rsid w:val="00F9677F"/>
    <w:rsid w:val="00FA12A7"/>
    <w:rsid w:val="00FA251B"/>
    <w:rsid w:val="00FA2AB4"/>
    <w:rsid w:val="00FA2DA4"/>
    <w:rsid w:val="00FA46F1"/>
    <w:rsid w:val="00FA48F8"/>
    <w:rsid w:val="00FA522B"/>
    <w:rsid w:val="00FA628E"/>
    <w:rsid w:val="00FA671B"/>
    <w:rsid w:val="00FA7329"/>
    <w:rsid w:val="00FA76CF"/>
    <w:rsid w:val="00FA7AA8"/>
    <w:rsid w:val="00FA7C6D"/>
    <w:rsid w:val="00FB050A"/>
    <w:rsid w:val="00FB09BC"/>
    <w:rsid w:val="00FB163D"/>
    <w:rsid w:val="00FB2FC7"/>
    <w:rsid w:val="00FB38ED"/>
    <w:rsid w:val="00FB45F6"/>
    <w:rsid w:val="00FB49F2"/>
    <w:rsid w:val="00FB4FE5"/>
    <w:rsid w:val="00FB5E0D"/>
    <w:rsid w:val="00FC02B3"/>
    <w:rsid w:val="00FC0636"/>
    <w:rsid w:val="00FC186C"/>
    <w:rsid w:val="00FC25BA"/>
    <w:rsid w:val="00FC3530"/>
    <w:rsid w:val="00FC4CBD"/>
    <w:rsid w:val="00FC5039"/>
    <w:rsid w:val="00FC60E4"/>
    <w:rsid w:val="00FC69C1"/>
    <w:rsid w:val="00FC6BE8"/>
    <w:rsid w:val="00FC781F"/>
    <w:rsid w:val="00FD13CE"/>
    <w:rsid w:val="00FD1494"/>
    <w:rsid w:val="00FD1AED"/>
    <w:rsid w:val="00FD1EF1"/>
    <w:rsid w:val="00FD346C"/>
    <w:rsid w:val="00FD364E"/>
    <w:rsid w:val="00FD3B0C"/>
    <w:rsid w:val="00FD53CB"/>
    <w:rsid w:val="00FD5DEC"/>
    <w:rsid w:val="00FD638A"/>
    <w:rsid w:val="00FD6EC8"/>
    <w:rsid w:val="00FD7493"/>
    <w:rsid w:val="00FD75DD"/>
    <w:rsid w:val="00FD77A8"/>
    <w:rsid w:val="00FD79AC"/>
    <w:rsid w:val="00FD7E4A"/>
    <w:rsid w:val="00FE133F"/>
    <w:rsid w:val="00FE13C7"/>
    <w:rsid w:val="00FE17FB"/>
    <w:rsid w:val="00FE24DF"/>
    <w:rsid w:val="00FE357C"/>
    <w:rsid w:val="00FE421E"/>
    <w:rsid w:val="00FE4229"/>
    <w:rsid w:val="00FE6BA3"/>
    <w:rsid w:val="00FE7D39"/>
    <w:rsid w:val="00FF0947"/>
    <w:rsid w:val="00FF0E4D"/>
    <w:rsid w:val="00FF0E94"/>
    <w:rsid w:val="00FF2041"/>
    <w:rsid w:val="00FF2194"/>
    <w:rsid w:val="00FF363C"/>
    <w:rsid w:val="00FF4075"/>
    <w:rsid w:val="00FF6438"/>
    <w:rsid w:val="00FF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0F8E5"/>
  <w15:docId w15:val="{F43274A2-9E78-4E45-90D4-F1F99E23A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2F1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CB2C0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2C0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9">
    <w:name w:val="heading 9"/>
    <w:basedOn w:val="Normal"/>
    <w:next w:val="Normal"/>
    <w:link w:val="Heading9Char"/>
    <w:qFormat/>
    <w:rsid w:val="00AD2F10"/>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9Char">
    <w:name w:val="Heading 9 Char"/>
    <w:basedOn w:val="DefaultParagraphFont"/>
    <w:link w:val="Heading9"/>
    <w:rsid w:val="00AD2F10"/>
    <w:rPr>
      <w:rFonts w:ascii="Arial" w:eastAsia="Times New Roman" w:hAnsi="Arial" w:cs="Arial"/>
    </w:rPr>
  </w:style>
  <w:style w:type="paragraph" w:styleId="Subtitle">
    <w:name w:val="Subtitle"/>
    <w:basedOn w:val="Normal"/>
    <w:next w:val="Normal"/>
    <w:link w:val="SubtitleChar"/>
    <w:uiPriority w:val="11"/>
    <w:qFormat/>
    <w:pPr>
      <w:jc w:val="center"/>
    </w:pPr>
    <w:rPr>
      <w:b/>
    </w:rPr>
  </w:style>
  <w:style w:type="character" w:customStyle="1" w:styleId="SubtitleChar">
    <w:name w:val="Subtitle Char"/>
    <w:basedOn w:val="DefaultParagraphFont"/>
    <w:link w:val="Subtitle"/>
    <w:rsid w:val="00AD2F10"/>
    <w:rPr>
      <w:rFonts w:ascii=".VnTimeH" w:eastAsia="Times New Roman" w:hAnsi=".VnTimeH" w:cs=".VnTimeH"/>
      <w:b/>
      <w:bCs/>
      <w:sz w:val="28"/>
      <w:szCs w:val="28"/>
    </w:rPr>
  </w:style>
  <w:style w:type="paragraph" w:styleId="BodyTextIndent">
    <w:name w:val="Body Text Indent"/>
    <w:basedOn w:val="Normal"/>
    <w:link w:val="BodyTextIndentChar"/>
    <w:unhideWhenUsed/>
    <w:rsid w:val="00AD2F10"/>
    <w:pPr>
      <w:ind w:right="-291" w:firstLine="720"/>
      <w:jc w:val="both"/>
    </w:pPr>
    <w:rPr>
      <w:rFonts w:ascii=".VnTime" w:hAnsi=".VnTime"/>
      <w:szCs w:val="20"/>
    </w:rPr>
  </w:style>
  <w:style w:type="character" w:customStyle="1" w:styleId="BodyTextIndentChar">
    <w:name w:val="Body Text Indent Char"/>
    <w:basedOn w:val="DefaultParagraphFont"/>
    <w:link w:val="BodyTextIndent"/>
    <w:rsid w:val="00AD2F10"/>
    <w:rPr>
      <w:rFonts w:ascii=".VnTime" w:eastAsia="Times New Roman" w:hAnsi=".VnTime" w:cs="Times New Roman"/>
      <w:sz w:val="28"/>
      <w:szCs w:val="20"/>
    </w:rPr>
  </w:style>
  <w:style w:type="character" w:styleId="Hyperlink">
    <w:name w:val="Hyperlink"/>
    <w:basedOn w:val="DefaultParagraphFont"/>
    <w:uiPriority w:val="99"/>
    <w:unhideWhenUsed/>
    <w:rsid w:val="00AD2F10"/>
    <w:rPr>
      <w:color w:val="0000FF"/>
      <w:u w:val="single"/>
    </w:rPr>
  </w:style>
  <w:style w:type="paragraph" w:customStyle="1" w:styleId="EMPTYCELLSTYLE">
    <w:name w:val="EMPTY_CELL_STYLE"/>
    <w:qFormat/>
    <w:rsid w:val="00285B7B"/>
    <w:rPr>
      <w:sz w:val="1"/>
      <w:szCs w:val="20"/>
    </w:rPr>
  </w:style>
  <w:style w:type="paragraph" w:styleId="Header">
    <w:name w:val="header"/>
    <w:basedOn w:val="Normal"/>
    <w:link w:val="HeaderChar"/>
    <w:uiPriority w:val="99"/>
    <w:unhideWhenUsed/>
    <w:rsid w:val="005B0E72"/>
    <w:pPr>
      <w:tabs>
        <w:tab w:val="center" w:pos="4680"/>
        <w:tab w:val="right" w:pos="9360"/>
      </w:tabs>
    </w:pPr>
  </w:style>
  <w:style w:type="character" w:customStyle="1" w:styleId="HeaderChar">
    <w:name w:val="Header Char"/>
    <w:basedOn w:val="DefaultParagraphFont"/>
    <w:link w:val="Header"/>
    <w:uiPriority w:val="99"/>
    <w:rsid w:val="005B0E72"/>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5B0E72"/>
    <w:pPr>
      <w:tabs>
        <w:tab w:val="center" w:pos="4680"/>
        <w:tab w:val="right" w:pos="9360"/>
      </w:tabs>
    </w:pPr>
  </w:style>
  <w:style w:type="character" w:customStyle="1" w:styleId="FooterChar">
    <w:name w:val="Footer Char"/>
    <w:basedOn w:val="DefaultParagraphFont"/>
    <w:link w:val="Footer"/>
    <w:uiPriority w:val="99"/>
    <w:rsid w:val="005B0E72"/>
    <w:rPr>
      <w:rFonts w:ascii="Times New Roman" w:eastAsia="Times New Roman" w:hAnsi="Times New Roman" w:cs="Times New Roman"/>
      <w:sz w:val="28"/>
      <w:szCs w:val="28"/>
    </w:rPr>
  </w:style>
  <w:style w:type="table" w:styleId="TableGrid">
    <w:name w:val="Table Grid"/>
    <w:basedOn w:val="TableNormal"/>
    <w:uiPriority w:val="39"/>
    <w:rsid w:val="007456D6"/>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 Char,Footnote Text Char Char Char Char Char,Footnote Text Char Char Char Char Char Char Ch,Footnote Text Char Char Char Char Char Char Ch Char Char Char,fn,fn Char,Char Char13,f, Char Char,ft,single space,footnote text,Geneva 9,ADB,Зн"/>
    <w:basedOn w:val="Normal"/>
    <w:link w:val="FootnoteTextChar"/>
    <w:uiPriority w:val="99"/>
    <w:qFormat/>
    <w:rsid w:val="007456D6"/>
    <w:rPr>
      <w:rFonts w:eastAsia="Calibri"/>
      <w:sz w:val="24"/>
      <w:szCs w:val="24"/>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basedOn w:val="DefaultParagraphFont"/>
    <w:link w:val="FootnoteText"/>
    <w:uiPriority w:val="99"/>
    <w:qFormat/>
    <w:rsid w:val="007456D6"/>
    <w:rPr>
      <w:rFonts w:ascii="Times New Roman" w:eastAsia="Calibri" w:hAnsi="Times New Roman" w:cs="Times New Roman"/>
      <w:sz w:val="24"/>
      <w:szCs w:val="24"/>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text,10 p,4_,4"/>
    <w:basedOn w:val="DefaultParagraphFont"/>
    <w:link w:val="RefChar"/>
    <w:uiPriority w:val="99"/>
    <w:qFormat/>
    <w:rsid w:val="007456D6"/>
    <w:rPr>
      <w:vertAlign w:val="superscript"/>
    </w:rPr>
  </w:style>
  <w:style w:type="paragraph" w:styleId="NormalWeb">
    <w:name w:val="Normal (Web)"/>
    <w:basedOn w:val="Normal"/>
    <w:uiPriority w:val="99"/>
    <w:unhideWhenUsed/>
    <w:rsid w:val="007456D6"/>
    <w:pPr>
      <w:spacing w:before="100" w:beforeAutospacing="1" w:after="100" w:afterAutospacing="1"/>
    </w:pPr>
    <w:rPr>
      <w:sz w:val="24"/>
      <w:szCs w:val="24"/>
    </w:rPr>
  </w:style>
  <w:style w:type="character" w:customStyle="1" w:styleId="Heading3Char">
    <w:name w:val="Heading 3 Char"/>
    <w:basedOn w:val="DefaultParagraphFont"/>
    <w:link w:val="Heading3"/>
    <w:uiPriority w:val="9"/>
    <w:semiHidden/>
    <w:rsid w:val="00CB2C00"/>
    <w:rPr>
      <w:rFonts w:asciiTheme="majorHAnsi" w:eastAsiaTheme="majorEastAsia" w:hAnsiTheme="majorHAnsi" w:cstheme="majorBidi"/>
      <w:b/>
      <w:bCs/>
      <w:color w:val="4F81BD" w:themeColor="accent1"/>
      <w:sz w:val="28"/>
      <w:szCs w:val="28"/>
    </w:rPr>
  </w:style>
  <w:style w:type="paragraph" w:styleId="BodyText2">
    <w:name w:val="Body Text 2"/>
    <w:basedOn w:val="Normal"/>
    <w:link w:val="BodyText2Char"/>
    <w:uiPriority w:val="99"/>
    <w:semiHidden/>
    <w:unhideWhenUsed/>
    <w:rsid w:val="00CB2C00"/>
    <w:pPr>
      <w:spacing w:after="120" w:line="480" w:lineRule="auto"/>
    </w:pPr>
  </w:style>
  <w:style w:type="character" w:customStyle="1" w:styleId="BodyText2Char">
    <w:name w:val="Body Text 2 Char"/>
    <w:basedOn w:val="DefaultParagraphFont"/>
    <w:link w:val="BodyText2"/>
    <w:uiPriority w:val="99"/>
    <w:semiHidden/>
    <w:rsid w:val="00CB2C00"/>
    <w:rPr>
      <w:rFonts w:ascii="Times New Roman" w:eastAsia="Times New Roman" w:hAnsi="Times New Roman" w:cs="Times New Roman"/>
      <w:sz w:val="28"/>
      <w:szCs w:val="28"/>
    </w:rPr>
  </w:style>
  <w:style w:type="paragraph" w:styleId="ListParagraph">
    <w:name w:val="List Paragraph"/>
    <w:aliases w:val="Hình"/>
    <w:basedOn w:val="Normal"/>
    <w:uiPriority w:val="34"/>
    <w:qFormat/>
    <w:rsid w:val="00CB2C00"/>
    <w:pPr>
      <w:ind w:left="720"/>
      <w:contextualSpacing/>
    </w:pPr>
  </w:style>
  <w:style w:type="paragraph" w:customStyle="1" w:styleId="Textbody">
    <w:name w:val="Text body"/>
    <w:basedOn w:val="Normal"/>
    <w:link w:val="TextbodyChar"/>
    <w:rsid w:val="00CB2C00"/>
    <w:pPr>
      <w:widowControl w:val="0"/>
      <w:suppressAutoHyphens/>
      <w:autoSpaceDN w:val="0"/>
      <w:spacing w:after="120"/>
      <w:jc w:val="both"/>
      <w:textAlignment w:val="baseline"/>
    </w:pPr>
    <w:rPr>
      <w:rFonts w:eastAsia="WenQuanYi Micro Hei" w:cs="Lohit Hindi"/>
      <w:kern w:val="3"/>
      <w:sz w:val="26"/>
      <w:szCs w:val="24"/>
      <w:lang w:eastAsia="zh-CN" w:bidi="hi-IN"/>
    </w:rPr>
  </w:style>
  <w:style w:type="paragraph" w:customStyle="1" w:styleId="Heading40">
    <w:name w:val="Heading4"/>
    <w:basedOn w:val="Heading4"/>
    <w:next w:val="Heading4"/>
    <w:link w:val="Heading4Char0"/>
    <w:autoRedefine/>
    <w:qFormat/>
    <w:rsid w:val="00CB2C00"/>
    <w:pPr>
      <w:keepLines w:val="0"/>
      <w:widowControl w:val="0"/>
      <w:numPr>
        <w:ilvl w:val="3"/>
      </w:numPr>
      <w:suppressAutoHyphens/>
      <w:autoSpaceDN w:val="0"/>
      <w:spacing w:before="0"/>
      <w:ind w:left="720"/>
      <w:jc w:val="both"/>
      <w:textAlignment w:val="baseline"/>
    </w:pPr>
    <w:rPr>
      <w:rFonts w:ascii="Times New Roman" w:eastAsia="WenQuanYi Micro Hei" w:hAnsi="Times New Roman" w:cs="Times New Roman"/>
      <w:i w:val="0"/>
      <w:color w:val="auto"/>
      <w:kern w:val="3"/>
      <w:lang w:eastAsia="zh-CN" w:bidi="hi-IN"/>
    </w:rPr>
  </w:style>
  <w:style w:type="character" w:customStyle="1" w:styleId="TextbodyChar">
    <w:name w:val="Text body Char"/>
    <w:basedOn w:val="DefaultParagraphFont"/>
    <w:link w:val="Textbody"/>
    <w:rsid w:val="00CB2C00"/>
    <w:rPr>
      <w:rFonts w:ascii="Times New Roman" w:eastAsia="WenQuanYi Micro Hei" w:hAnsi="Times New Roman" w:cs="Lohit Hindi"/>
      <w:kern w:val="3"/>
      <w:sz w:val="26"/>
      <w:szCs w:val="24"/>
      <w:lang w:eastAsia="zh-CN" w:bidi="hi-IN"/>
    </w:rPr>
  </w:style>
  <w:style w:type="character" w:customStyle="1" w:styleId="Heading4Char0">
    <w:name w:val="Heading4 Char"/>
    <w:basedOn w:val="TextbodyChar"/>
    <w:link w:val="Heading40"/>
    <w:rsid w:val="00CB2C00"/>
    <w:rPr>
      <w:rFonts w:ascii="Times New Roman" w:eastAsia="WenQuanYi Micro Hei" w:hAnsi="Times New Roman" w:cs="Times New Roman"/>
      <w:b/>
      <w:bCs/>
      <w:iCs/>
      <w:kern w:val="3"/>
      <w:sz w:val="28"/>
      <w:szCs w:val="28"/>
      <w:lang w:eastAsia="zh-CN" w:bidi="hi-IN"/>
    </w:rPr>
  </w:style>
  <w:style w:type="character" w:customStyle="1" w:styleId="Heading4Char">
    <w:name w:val="Heading 4 Char"/>
    <w:basedOn w:val="DefaultParagraphFont"/>
    <w:link w:val="Heading4"/>
    <w:uiPriority w:val="9"/>
    <w:rsid w:val="00CB2C00"/>
    <w:rPr>
      <w:rFonts w:asciiTheme="majorHAnsi" w:eastAsiaTheme="majorEastAsia" w:hAnsiTheme="majorHAnsi" w:cstheme="majorBidi"/>
      <w:b/>
      <w:bCs/>
      <w:i/>
      <w:iCs/>
      <w:color w:val="4F81BD" w:themeColor="accent1"/>
      <w:sz w:val="28"/>
      <w:szCs w:val="28"/>
    </w:rPr>
  </w:style>
  <w:style w:type="paragraph" w:styleId="BalloonText">
    <w:name w:val="Balloon Text"/>
    <w:basedOn w:val="Normal"/>
    <w:link w:val="BalloonTextChar"/>
    <w:semiHidden/>
    <w:unhideWhenUsed/>
    <w:rsid w:val="00CB2C00"/>
    <w:rPr>
      <w:rFonts w:ascii="Tahoma" w:hAnsi="Tahoma" w:cs="Tahoma"/>
      <w:sz w:val="16"/>
      <w:szCs w:val="16"/>
    </w:rPr>
  </w:style>
  <w:style w:type="character" w:customStyle="1" w:styleId="BalloonTextChar">
    <w:name w:val="Balloon Text Char"/>
    <w:basedOn w:val="DefaultParagraphFont"/>
    <w:link w:val="BalloonText"/>
    <w:semiHidden/>
    <w:rsid w:val="00CB2C0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B53FC"/>
    <w:rPr>
      <w:sz w:val="16"/>
      <w:szCs w:val="16"/>
    </w:rPr>
  </w:style>
  <w:style w:type="paragraph" w:styleId="CommentText">
    <w:name w:val="annotation text"/>
    <w:basedOn w:val="Normal"/>
    <w:link w:val="CommentTextChar"/>
    <w:uiPriority w:val="99"/>
    <w:unhideWhenUsed/>
    <w:qFormat/>
    <w:rsid w:val="001B53FC"/>
    <w:rPr>
      <w:sz w:val="20"/>
      <w:szCs w:val="20"/>
    </w:rPr>
  </w:style>
  <w:style w:type="character" w:customStyle="1" w:styleId="CommentTextChar">
    <w:name w:val="Comment Text Char"/>
    <w:basedOn w:val="DefaultParagraphFont"/>
    <w:link w:val="CommentText"/>
    <w:uiPriority w:val="99"/>
    <w:qFormat/>
    <w:rsid w:val="001B53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53FC"/>
    <w:rPr>
      <w:b/>
      <w:bCs/>
    </w:rPr>
  </w:style>
  <w:style w:type="character" w:customStyle="1" w:styleId="CommentSubjectChar">
    <w:name w:val="Comment Subject Char"/>
    <w:basedOn w:val="CommentTextChar"/>
    <w:link w:val="CommentSubject"/>
    <w:uiPriority w:val="99"/>
    <w:semiHidden/>
    <w:rsid w:val="001B53FC"/>
    <w:rPr>
      <w:rFonts w:ascii="Times New Roman" w:eastAsia="Times New Roman" w:hAnsi="Times New Roman" w:cs="Times New Roman"/>
      <w:b/>
      <w:bCs/>
      <w:sz w:val="20"/>
      <w:szCs w:val="20"/>
    </w:rPr>
  </w:style>
  <w:style w:type="paragraph" w:customStyle="1" w:styleId="RefChar">
    <w:name w:val="Ref Char"/>
    <w:aliases w:val="de nota al pie Char,Ref1 Char,BVI fnr Char Char Char Char Char Char Char,BVI fnr Car Car Char Char Char Char Char Char Char,BVI fnr Car Char Char Char Char Char Char Char,FNRefe,4_G Char,callout Char,Footnote Refernece Char,ftref Char,fr Char"/>
    <w:basedOn w:val="Normal"/>
    <w:link w:val="FootnoteReference"/>
    <w:uiPriority w:val="99"/>
    <w:qFormat/>
    <w:rsid w:val="00C7524D"/>
    <w:pPr>
      <w:spacing w:after="160" w:line="240" w:lineRule="exact"/>
    </w:pPr>
    <w:rPr>
      <w:rFonts w:asciiTheme="minorHAnsi" w:eastAsiaTheme="minorHAnsi" w:hAnsiTheme="minorHAnsi" w:cstheme="minorBidi"/>
      <w:sz w:val="22"/>
      <w:szCs w:val="22"/>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122083"/>
    <w:pPr>
      <w:spacing w:after="160" w:line="240" w:lineRule="exact"/>
    </w:pPr>
    <w:rPr>
      <w:sz w:val="20"/>
      <w:szCs w:val="20"/>
      <w:vertAlign w:val="superscript"/>
    </w:rPr>
  </w:style>
  <w:style w:type="character" w:customStyle="1" w:styleId="text">
    <w:name w:val="text"/>
    <w:rsid w:val="006E3EA3"/>
  </w:style>
  <w:style w:type="character" w:customStyle="1" w:styleId="UnresolvedMention1">
    <w:name w:val="Unresolved Mention1"/>
    <w:basedOn w:val="DefaultParagraphFont"/>
    <w:uiPriority w:val="99"/>
    <w:semiHidden/>
    <w:unhideWhenUsed/>
    <w:rsid w:val="00B704ED"/>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E3318"/>
    <w:rPr>
      <w:b/>
      <w:bCs/>
    </w:rPr>
  </w:style>
  <w:style w:type="table" w:customStyle="1" w:styleId="a1">
    <w:basedOn w:val="TableNormal"/>
    <w:rPr>
      <w:sz w:val="20"/>
      <w:szCs w:val="20"/>
    </w:rPr>
    <w:tblPr>
      <w:tblStyleRowBandSize w:val="1"/>
      <w:tblStyleColBandSize w:val="1"/>
      <w:tblCellMar>
        <w:left w:w="115" w:type="dxa"/>
        <w:right w:w="115" w:type="dxa"/>
      </w:tblCellMar>
    </w:tblPr>
  </w:style>
  <w:style w:type="table" w:customStyle="1" w:styleId="a2">
    <w:basedOn w:val="TableNormal"/>
    <w:rPr>
      <w:sz w:val="20"/>
      <w:szCs w:val="20"/>
    </w:rPr>
    <w:tblPr>
      <w:tblStyleRowBandSize w:val="1"/>
      <w:tblStyleColBandSize w:val="1"/>
      <w:tblCellMar>
        <w:left w:w="115" w:type="dxa"/>
        <w:right w:w="115" w:type="dxa"/>
      </w:tblCellMar>
    </w:tbl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E361A3"/>
    <w:pPr>
      <w:spacing w:after="160" w:line="240" w:lineRule="exact"/>
    </w:pPr>
    <w:rPr>
      <w:vertAlign w:val="superscript"/>
    </w:rPr>
  </w:style>
  <w:style w:type="paragraph" w:customStyle="1" w:styleId="Default">
    <w:name w:val="Default"/>
    <w:uiPriority w:val="99"/>
    <w:rsid w:val="00E361A3"/>
    <w:pPr>
      <w:autoSpaceDE w:val="0"/>
      <w:autoSpaceDN w:val="0"/>
      <w:adjustRightInd w:val="0"/>
    </w:pPr>
    <w:rPr>
      <w:rFonts w:eastAsiaTheme="minorHAnsi"/>
      <w:color w:val="000000"/>
      <w:sz w:val="24"/>
      <w:szCs w:val="24"/>
      <w:lang w:val="vi-VN"/>
    </w:rPr>
  </w:style>
  <w:style w:type="character" w:customStyle="1" w:styleId="UnresolvedMention2">
    <w:name w:val="Unresolved Mention2"/>
    <w:basedOn w:val="DefaultParagraphFont"/>
    <w:uiPriority w:val="99"/>
    <w:semiHidden/>
    <w:unhideWhenUsed/>
    <w:rsid w:val="00593BB8"/>
    <w:rPr>
      <w:color w:val="605E5C"/>
      <w:shd w:val="clear" w:color="auto" w:fill="E1DFDD"/>
    </w:rPr>
  </w:style>
  <w:style w:type="character" w:customStyle="1" w:styleId="dieuCharChar">
    <w:name w:val="dieu Char Char"/>
    <w:basedOn w:val="DefaultParagraphFont"/>
    <w:rsid w:val="000C1F78"/>
    <w:rPr>
      <w:b/>
      <w:color w:val="0000FF"/>
      <w:sz w:val="26"/>
      <w:szCs w:val="24"/>
      <w:lang w:val="en-US" w:eastAsia="en-US" w:bidi="ar-SA"/>
    </w:rPr>
  </w:style>
  <w:style w:type="character" w:customStyle="1" w:styleId="headsubmitlevel2">
    <w:name w:val="headsubmitlevel2"/>
    <w:basedOn w:val="DefaultParagraphFont"/>
    <w:rsid w:val="00052D83"/>
  </w:style>
  <w:style w:type="paragraph" w:customStyle="1" w:styleId="Normal2">
    <w:name w:val="Normal2"/>
    <w:uiPriority w:val="99"/>
    <w:rsid w:val="00C8241E"/>
    <w:pPr>
      <w:spacing w:before="100" w:after="100"/>
    </w:pPr>
    <w:rPr>
      <w:szCs w:val="20"/>
      <w:lang w:val="vi-VN" w:eastAsia="vi-VN"/>
    </w:rPr>
  </w:style>
  <w:style w:type="character" w:customStyle="1" w:styleId="normalchar1">
    <w:name w:val="normal__char1"/>
    <w:rsid w:val="00C8241E"/>
    <w:rPr>
      <w:rFonts w:ascii="Calibri" w:hAnsi="Calibri" w:cs="Calibri"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8077">
      <w:bodyDiv w:val="1"/>
      <w:marLeft w:val="0"/>
      <w:marRight w:val="0"/>
      <w:marTop w:val="0"/>
      <w:marBottom w:val="0"/>
      <w:divBdr>
        <w:top w:val="none" w:sz="0" w:space="0" w:color="auto"/>
        <w:left w:val="none" w:sz="0" w:space="0" w:color="auto"/>
        <w:bottom w:val="none" w:sz="0" w:space="0" w:color="auto"/>
        <w:right w:val="none" w:sz="0" w:space="0" w:color="auto"/>
      </w:divBdr>
    </w:div>
    <w:div w:id="58095913">
      <w:bodyDiv w:val="1"/>
      <w:marLeft w:val="0"/>
      <w:marRight w:val="0"/>
      <w:marTop w:val="0"/>
      <w:marBottom w:val="0"/>
      <w:divBdr>
        <w:top w:val="none" w:sz="0" w:space="0" w:color="auto"/>
        <w:left w:val="none" w:sz="0" w:space="0" w:color="auto"/>
        <w:bottom w:val="none" w:sz="0" w:space="0" w:color="auto"/>
        <w:right w:val="none" w:sz="0" w:space="0" w:color="auto"/>
      </w:divBdr>
    </w:div>
    <w:div w:id="204560415">
      <w:bodyDiv w:val="1"/>
      <w:marLeft w:val="0"/>
      <w:marRight w:val="0"/>
      <w:marTop w:val="0"/>
      <w:marBottom w:val="0"/>
      <w:divBdr>
        <w:top w:val="none" w:sz="0" w:space="0" w:color="auto"/>
        <w:left w:val="none" w:sz="0" w:space="0" w:color="auto"/>
        <w:bottom w:val="none" w:sz="0" w:space="0" w:color="auto"/>
        <w:right w:val="none" w:sz="0" w:space="0" w:color="auto"/>
      </w:divBdr>
    </w:div>
    <w:div w:id="221598672">
      <w:bodyDiv w:val="1"/>
      <w:marLeft w:val="0"/>
      <w:marRight w:val="0"/>
      <w:marTop w:val="0"/>
      <w:marBottom w:val="0"/>
      <w:divBdr>
        <w:top w:val="none" w:sz="0" w:space="0" w:color="auto"/>
        <w:left w:val="none" w:sz="0" w:space="0" w:color="auto"/>
        <w:bottom w:val="none" w:sz="0" w:space="0" w:color="auto"/>
        <w:right w:val="none" w:sz="0" w:space="0" w:color="auto"/>
      </w:divBdr>
    </w:div>
    <w:div w:id="275215566">
      <w:bodyDiv w:val="1"/>
      <w:marLeft w:val="0"/>
      <w:marRight w:val="0"/>
      <w:marTop w:val="0"/>
      <w:marBottom w:val="0"/>
      <w:divBdr>
        <w:top w:val="none" w:sz="0" w:space="0" w:color="auto"/>
        <w:left w:val="none" w:sz="0" w:space="0" w:color="auto"/>
        <w:bottom w:val="none" w:sz="0" w:space="0" w:color="auto"/>
        <w:right w:val="none" w:sz="0" w:space="0" w:color="auto"/>
      </w:divBdr>
    </w:div>
    <w:div w:id="309598089">
      <w:bodyDiv w:val="1"/>
      <w:marLeft w:val="0"/>
      <w:marRight w:val="0"/>
      <w:marTop w:val="0"/>
      <w:marBottom w:val="0"/>
      <w:divBdr>
        <w:top w:val="none" w:sz="0" w:space="0" w:color="auto"/>
        <w:left w:val="none" w:sz="0" w:space="0" w:color="auto"/>
        <w:bottom w:val="none" w:sz="0" w:space="0" w:color="auto"/>
        <w:right w:val="none" w:sz="0" w:space="0" w:color="auto"/>
      </w:divBdr>
    </w:div>
    <w:div w:id="331685398">
      <w:bodyDiv w:val="1"/>
      <w:marLeft w:val="0"/>
      <w:marRight w:val="0"/>
      <w:marTop w:val="0"/>
      <w:marBottom w:val="0"/>
      <w:divBdr>
        <w:top w:val="none" w:sz="0" w:space="0" w:color="auto"/>
        <w:left w:val="none" w:sz="0" w:space="0" w:color="auto"/>
        <w:bottom w:val="none" w:sz="0" w:space="0" w:color="auto"/>
        <w:right w:val="none" w:sz="0" w:space="0" w:color="auto"/>
      </w:divBdr>
    </w:div>
    <w:div w:id="339358419">
      <w:bodyDiv w:val="1"/>
      <w:marLeft w:val="0"/>
      <w:marRight w:val="0"/>
      <w:marTop w:val="0"/>
      <w:marBottom w:val="0"/>
      <w:divBdr>
        <w:top w:val="none" w:sz="0" w:space="0" w:color="auto"/>
        <w:left w:val="none" w:sz="0" w:space="0" w:color="auto"/>
        <w:bottom w:val="none" w:sz="0" w:space="0" w:color="auto"/>
        <w:right w:val="none" w:sz="0" w:space="0" w:color="auto"/>
      </w:divBdr>
    </w:div>
    <w:div w:id="376008507">
      <w:bodyDiv w:val="1"/>
      <w:marLeft w:val="0"/>
      <w:marRight w:val="0"/>
      <w:marTop w:val="0"/>
      <w:marBottom w:val="0"/>
      <w:divBdr>
        <w:top w:val="none" w:sz="0" w:space="0" w:color="auto"/>
        <w:left w:val="none" w:sz="0" w:space="0" w:color="auto"/>
        <w:bottom w:val="none" w:sz="0" w:space="0" w:color="auto"/>
        <w:right w:val="none" w:sz="0" w:space="0" w:color="auto"/>
      </w:divBdr>
    </w:div>
    <w:div w:id="390542038">
      <w:bodyDiv w:val="1"/>
      <w:marLeft w:val="0"/>
      <w:marRight w:val="0"/>
      <w:marTop w:val="0"/>
      <w:marBottom w:val="0"/>
      <w:divBdr>
        <w:top w:val="none" w:sz="0" w:space="0" w:color="auto"/>
        <w:left w:val="none" w:sz="0" w:space="0" w:color="auto"/>
        <w:bottom w:val="none" w:sz="0" w:space="0" w:color="auto"/>
        <w:right w:val="none" w:sz="0" w:space="0" w:color="auto"/>
      </w:divBdr>
    </w:div>
    <w:div w:id="415133625">
      <w:bodyDiv w:val="1"/>
      <w:marLeft w:val="0"/>
      <w:marRight w:val="0"/>
      <w:marTop w:val="0"/>
      <w:marBottom w:val="0"/>
      <w:divBdr>
        <w:top w:val="none" w:sz="0" w:space="0" w:color="auto"/>
        <w:left w:val="none" w:sz="0" w:space="0" w:color="auto"/>
        <w:bottom w:val="none" w:sz="0" w:space="0" w:color="auto"/>
        <w:right w:val="none" w:sz="0" w:space="0" w:color="auto"/>
      </w:divBdr>
    </w:div>
    <w:div w:id="440807596">
      <w:bodyDiv w:val="1"/>
      <w:marLeft w:val="0"/>
      <w:marRight w:val="0"/>
      <w:marTop w:val="0"/>
      <w:marBottom w:val="0"/>
      <w:divBdr>
        <w:top w:val="none" w:sz="0" w:space="0" w:color="auto"/>
        <w:left w:val="none" w:sz="0" w:space="0" w:color="auto"/>
        <w:bottom w:val="none" w:sz="0" w:space="0" w:color="auto"/>
        <w:right w:val="none" w:sz="0" w:space="0" w:color="auto"/>
      </w:divBdr>
    </w:div>
    <w:div w:id="458260028">
      <w:bodyDiv w:val="1"/>
      <w:marLeft w:val="0"/>
      <w:marRight w:val="0"/>
      <w:marTop w:val="0"/>
      <w:marBottom w:val="0"/>
      <w:divBdr>
        <w:top w:val="none" w:sz="0" w:space="0" w:color="auto"/>
        <w:left w:val="none" w:sz="0" w:space="0" w:color="auto"/>
        <w:bottom w:val="none" w:sz="0" w:space="0" w:color="auto"/>
        <w:right w:val="none" w:sz="0" w:space="0" w:color="auto"/>
      </w:divBdr>
    </w:div>
    <w:div w:id="468674761">
      <w:bodyDiv w:val="1"/>
      <w:marLeft w:val="0"/>
      <w:marRight w:val="0"/>
      <w:marTop w:val="0"/>
      <w:marBottom w:val="0"/>
      <w:divBdr>
        <w:top w:val="none" w:sz="0" w:space="0" w:color="auto"/>
        <w:left w:val="none" w:sz="0" w:space="0" w:color="auto"/>
        <w:bottom w:val="none" w:sz="0" w:space="0" w:color="auto"/>
        <w:right w:val="none" w:sz="0" w:space="0" w:color="auto"/>
      </w:divBdr>
    </w:div>
    <w:div w:id="508520674">
      <w:bodyDiv w:val="1"/>
      <w:marLeft w:val="0"/>
      <w:marRight w:val="0"/>
      <w:marTop w:val="0"/>
      <w:marBottom w:val="0"/>
      <w:divBdr>
        <w:top w:val="none" w:sz="0" w:space="0" w:color="auto"/>
        <w:left w:val="none" w:sz="0" w:space="0" w:color="auto"/>
        <w:bottom w:val="none" w:sz="0" w:space="0" w:color="auto"/>
        <w:right w:val="none" w:sz="0" w:space="0" w:color="auto"/>
      </w:divBdr>
    </w:div>
    <w:div w:id="531309455">
      <w:bodyDiv w:val="1"/>
      <w:marLeft w:val="0"/>
      <w:marRight w:val="0"/>
      <w:marTop w:val="0"/>
      <w:marBottom w:val="0"/>
      <w:divBdr>
        <w:top w:val="none" w:sz="0" w:space="0" w:color="auto"/>
        <w:left w:val="none" w:sz="0" w:space="0" w:color="auto"/>
        <w:bottom w:val="none" w:sz="0" w:space="0" w:color="auto"/>
        <w:right w:val="none" w:sz="0" w:space="0" w:color="auto"/>
      </w:divBdr>
    </w:div>
    <w:div w:id="586958089">
      <w:bodyDiv w:val="1"/>
      <w:marLeft w:val="0"/>
      <w:marRight w:val="0"/>
      <w:marTop w:val="0"/>
      <w:marBottom w:val="0"/>
      <w:divBdr>
        <w:top w:val="none" w:sz="0" w:space="0" w:color="auto"/>
        <w:left w:val="none" w:sz="0" w:space="0" w:color="auto"/>
        <w:bottom w:val="none" w:sz="0" w:space="0" w:color="auto"/>
        <w:right w:val="none" w:sz="0" w:space="0" w:color="auto"/>
      </w:divBdr>
    </w:div>
    <w:div w:id="615522184">
      <w:bodyDiv w:val="1"/>
      <w:marLeft w:val="0"/>
      <w:marRight w:val="0"/>
      <w:marTop w:val="0"/>
      <w:marBottom w:val="0"/>
      <w:divBdr>
        <w:top w:val="none" w:sz="0" w:space="0" w:color="auto"/>
        <w:left w:val="none" w:sz="0" w:space="0" w:color="auto"/>
        <w:bottom w:val="none" w:sz="0" w:space="0" w:color="auto"/>
        <w:right w:val="none" w:sz="0" w:space="0" w:color="auto"/>
      </w:divBdr>
    </w:div>
    <w:div w:id="615797170">
      <w:bodyDiv w:val="1"/>
      <w:marLeft w:val="0"/>
      <w:marRight w:val="0"/>
      <w:marTop w:val="0"/>
      <w:marBottom w:val="0"/>
      <w:divBdr>
        <w:top w:val="none" w:sz="0" w:space="0" w:color="auto"/>
        <w:left w:val="none" w:sz="0" w:space="0" w:color="auto"/>
        <w:bottom w:val="none" w:sz="0" w:space="0" w:color="auto"/>
        <w:right w:val="none" w:sz="0" w:space="0" w:color="auto"/>
      </w:divBdr>
    </w:div>
    <w:div w:id="641077247">
      <w:bodyDiv w:val="1"/>
      <w:marLeft w:val="0"/>
      <w:marRight w:val="0"/>
      <w:marTop w:val="0"/>
      <w:marBottom w:val="0"/>
      <w:divBdr>
        <w:top w:val="none" w:sz="0" w:space="0" w:color="auto"/>
        <w:left w:val="none" w:sz="0" w:space="0" w:color="auto"/>
        <w:bottom w:val="none" w:sz="0" w:space="0" w:color="auto"/>
        <w:right w:val="none" w:sz="0" w:space="0" w:color="auto"/>
      </w:divBdr>
    </w:div>
    <w:div w:id="655691179">
      <w:bodyDiv w:val="1"/>
      <w:marLeft w:val="0"/>
      <w:marRight w:val="0"/>
      <w:marTop w:val="0"/>
      <w:marBottom w:val="0"/>
      <w:divBdr>
        <w:top w:val="none" w:sz="0" w:space="0" w:color="auto"/>
        <w:left w:val="none" w:sz="0" w:space="0" w:color="auto"/>
        <w:bottom w:val="none" w:sz="0" w:space="0" w:color="auto"/>
        <w:right w:val="none" w:sz="0" w:space="0" w:color="auto"/>
      </w:divBdr>
    </w:div>
    <w:div w:id="657880138">
      <w:bodyDiv w:val="1"/>
      <w:marLeft w:val="0"/>
      <w:marRight w:val="0"/>
      <w:marTop w:val="0"/>
      <w:marBottom w:val="0"/>
      <w:divBdr>
        <w:top w:val="none" w:sz="0" w:space="0" w:color="auto"/>
        <w:left w:val="none" w:sz="0" w:space="0" w:color="auto"/>
        <w:bottom w:val="none" w:sz="0" w:space="0" w:color="auto"/>
        <w:right w:val="none" w:sz="0" w:space="0" w:color="auto"/>
      </w:divBdr>
    </w:div>
    <w:div w:id="673647081">
      <w:bodyDiv w:val="1"/>
      <w:marLeft w:val="0"/>
      <w:marRight w:val="0"/>
      <w:marTop w:val="0"/>
      <w:marBottom w:val="0"/>
      <w:divBdr>
        <w:top w:val="none" w:sz="0" w:space="0" w:color="auto"/>
        <w:left w:val="none" w:sz="0" w:space="0" w:color="auto"/>
        <w:bottom w:val="none" w:sz="0" w:space="0" w:color="auto"/>
        <w:right w:val="none" w:sz="0" w:space="0" w:color="auto"/>
      </w:divBdr>
    </w:div>
    <w:div w:id="828062167">
      <w:bodyDiv w:val="1"/>
      <w:marLeft w:val="0"/>
      <w:marRight w:val="0"/>
      <w:marTop w:val="0"/>
      <w:marBottom w:val="0"/>
      <w:divBdr>
        <w:top w:val="none" w:sz="0" w:space="0" w:color="auto"/>
        <w:left w:val="none" w:sz="0" w:space="0" w:color="auto"/>
        <w:bottom w:val="none" w:sz="0" w:space="0" w:color="auto"/>
        <w:right w:val="none" w:sz="0" w:space="0" w:color="auto"/>
      </w:divBdr>
    </w:div>
    <w:div w:id="843201321">
      <w:bodyDiv w:val="1"/>
      <w:marLeft w:val="0"/>
      <w:marRight w:val="0"/>
      <w:marTop w:val="0"/>
      <w:marBottom w:val="0"/>
      <w:divBdr>
        <w:top w:val="none" w:sz="0" w:space="0" w:color="auto"/>
        <w:left w:val="none" w:sz="0" w:space="0" w:color="auto"/>
        <w:bottom w:val="none" w:sz="0" w:space="0" w:color="auto"/>
        <w:right w:val="none" w:sz="0" w:space="0" w:color="auto"/>
      </w:divBdr>
    </w:div>
    <w:div w:id="846214895">
      <w:bodyDiv w:val="1"/>
      <w:marLeft w:val="0"/>
      <w:marRight w:val="0"/>
      <w:marTop w:val="0"/>
      <w:marBottom w:val="0"/>
      <w:divBdr>
        <w:top w:val="none" w:sz="0" w:space="0" w:color="auto"/>
        <w:left w:val="none" w:sz="0" w:space="0" w:color="auto"/>
        <w:bottom w:val="none" w:sz="0" w:space="0" w:color="auto"/>
        <w:right w:val="none" w:sz="0" w:space="0" w:color="auto"/>
      </w:divBdr>
    </w:div>
    <w:div w:id="875317689">
      <w:bodyDiv w:val="1"/>
      <w:marLeft w:val="0"/>
      <w:marRight w:val="0"/>
      <w:marTop w:val="0"/>
      <w:marBottom w:val="0"/>
      <w:divBdr>
        <w:top w:val="none" w:sz="0" w:space="0" w:color="auto"/>
        <w:left w:val="none" w:sz="0" w:space="0" w:color="auto"/>
        <w:bottom w:val="none" w:sz="0" w:space="0" w:color="auto"/>
        <w:right w:val="none" w:sz="0" w:space="0" w:color="auto"/>
      </w:divBdr>
    </w:div>
    <w:div w:id="907304683">
      <w:bodyDiv w:val="1"/>
      <w:marLeft w:val="0"/>
      <w:marRight w:val="0"/>
      <w:marTop w:val="0"/>
      <w:marBottom w:val="0"/>
      <w:divBdr>
        <w:top w:val="none" w:sz="0" w:space="0" w:color="auto"/>
        <w:left w:val="none" w:sz="0" w:space="0" w:color="auto"/>
        <w:bottom w:val="none" w:sz="0" w:space="0" w:color="auto"/>
        <w:right w:val="none" w:sz="0" w:space="0" w:color="auto"/>
      </w:divBdr>
    </w:div>
    <w:div w:id="909735798">
      <w:bodyDiv w:val="1"/>
      <w:marLeft w:val="0"/>
      <w:marRight w:val="0"/>
      <w:marTop w:val="0"/>
      <w:marBottom w:val="0"/>
      <w:divBdr>
        <w:top w:val="none" w:sz="0" w:space="0" w:color="auto"/>
        <w:left w:val="none" w:sz="0" w:space="0" w:color="auto"/>
        <w:bottom w:val="none" w:sz="0" w:space="0" w:color="auto"/>
        <w:right w:val="none" w:sz="0" w:space="0" w:color="auto"/>
      </w:divBdr>
    </w:div>
    <w:div w:id="923564931">
      <w:bodyDiv w:val="1"/>
      <w:marLeft w:val="0"/>
      <w:marRight w:val="0"/>
      <w:marTop w:val="0"/>
      <w:marBottom w:val="0"/>
      <w:divBdr>
        <w:top w:val="none" w:sz="0" w:space="0" w:color="auto"/>
        <w:left w:val="none" w:sz="0" w:space="0" w:color="auto"/>
        <w:bottom w:val="none" w:sz="0" w:space="0" w:color="auto"/>
        <w:right w:val="none" w:sz="0" w:space="0" w:color="auto"/>
      </w:divBdr>
    </w:div>
    <w:div w:id="955134361">
      <w:bodyDiv w:val="1"/>
      <w:marLeft w:val="0"/>
      <w:marRight w:val="0"/>
      <w:marTop w:val="0"/>
      <w:marBottom w:val="0"/>
      <w:divBdr>
        <w:top w:val="none" w:sz="0" w:space="0" w:color="auto"/>
        <w:left w:val="none" w:sz="0" w:space="0" w:color="auto"/>
        <w:bottom w:val="none" w:sz="0" w:space="0" w:color="auto"/>
        <w:right w:val="none" w:sz="0" w:space="0" w:color="auto"/>
      </w:divBdr>
    </w:div>
    <w:div w:id="974681564">
      <w:bodyDiv w:val="1"/>
      <w:marLeft w:val="0"/>
      <w:marRight w:val="0"/>
      <w:marTop w:val="0"/>
      <w:marBottom w:val="0"/>
      <w:divBdr>
        <w:top w:val="none" w:sz="0" w:space="0" w:color="auto"/>
        <w:left w:val="none" w:sz="0" w:space="0" w:color="auto"/>
        <w:bottom w:val="none" w:sz="0" w:space="0" w:color="auto"/>
        <w:right w:val="none" w:sz="0" w:space="0" w:color="auto"/>
      </w:divBdr>
      <w:divsChild>
        <w:div w:id="589388965">
          <w:marLeft w:val="547"/>
          <w:marRight w:val="0"/>
          <w:marTop w:val="0"/>
          <w:marBottom w:val="0"/>
          <w:divBdr>
            <w:top w:val="none" w:sz="0" w:space="0" w:color="auto"/>
            <w:left w:val="none" w:sz="0" w:space="0" w:color="auto"/>
            <w:bottom w:val="none" w:sz="0" w:space="0" w:color="auto"/>
            <w:right w:val="none" w:sz="0" w:space="0" w:color="auto"/>
          </w:divBdr>
        </w:div>
      </w:divsChild>
    </w:div>
    <w:div w:id="1003970884">
      <w:bodyDiv w:val="1"/>
      <w:marLeft w:val="0"/>
      <w:marRight w:val="0"/>
      <w:marTop w:val="0"/>
      <w:marBottom w:val="0"/>
      <w:divBdr>
        <w:top w:val="none" w:sz="0" w:space="0" w:color="auto"/>
        <w:left w:val="none" w:sz="0" w:space="0" w:color="auto"/>
        <w:bottom w:val="none" w:sz="0" w:space="0" w:color="auto"/>
        <w:right w:val="none" w:sz="0" w:space="0" w:color="auto"/>
      </w:divBdr>
    </w:div>
    <w:div w:id="1059743441">
      <w:bodyDiv w:val="1"/>
      <w:marLeft w:val="0"/>
      <w:marRight w:val="0"/>
      <w:marTop w:val="0"/>
      <w:marBottom w:val="0"/>
      <w:divBdr>
        <w:top w:val="none" w:sz="0" w:space="0" w:color="auto"/>
        <w:left w:val="none" w:sz="0" w:space="0" w:color="auto"/>
        <w:bottom w:val="none" w:sz="0" w:space="0" w:color="auto"/>
        <w:right w:val="none" w:sz="0" w:space="0" w:color="auto"/>
      </w:divBdr>
    </w:div>
    <w:div w:id="1059791363">
      <w:bodyDiv w:val="1"/>
      <w:marLeft w:val="0"/>
      <w:marRight w:val="0"/>
      <w:marTop w:val="0"/>
      <w:marBottom w:val="0"/>
      <w:divBdr>
        <w:top w:val="none" w:sz="0" w:space="0" w:color="auto"/>
        <w:left w:val="none" w:sz="0" w:space="0" w:color="auto"/>
        <w:bottom w:val="none" w:sz="0" w:space="0" w:color="auto"/>
        <w:right w:val="none" w:sz="0" w:space="0" w:color="auto"/>
      </w:divBdr>
    </w:div>
    <w:div w:id="1099986782">
      <w:bodyDiv w:val="1"/>
      <w:marLeft w:val="0"/>
      <w:marRight w:val="0"/>
      <w:marTop w:val="0"/>
      <w:marBottom w:val="0"/>
      <w:divBdr>
        <w:top w:val="none" w:sz="0" w:space="0" w:color="auto"/>
        <w:left w:val="none" w:sz="0" w:space="0" w:color="auto"/>
        <w:bottom w:val="none" w:sz="0" w:space="0" w:color="auto"/>
        <w:right w:val="none" w:sz="0" w:space="0" w:color="auto"/>
      </w:divBdr>
    </w:div>
    <w:div w:id="1128814211">
      <w:bodyDiv w:val="1"/>
      <w:marLeft w:val="0"/>
      <w:marRight w:val="0"/>
      <w:marTop w:val="0"/>
      <w:marBottom w:val="0"/>
      <w:divBdr>
        <w:top w:val="none" w:sz="0" w:space="0" w:color="auto"/>
        <w:left w:val="none" w:sz="0" w:space="0" w:color="auto"/>
        <w:bottom w:val="none" w:sz="0" w:space="0" w:color="auto"/>
        <w:right w:val="none" w:sz="0" w:space="0" w:color="auto"/>
      </w:divBdr>
    </w:div>
    <w:div w:id="1180702042">
      <w:bodyDiv w:val="1"/>
      <w:marLeft w:val="0"/>
      <w:marRight w:val="0"/>
      <w:marTop w:val="0"/>
      <w:marBottom w:val="0"/>
      <w:divBdr>
        <w:top w:val="none" w:sz="0" w:space="0" w:color="auto"/>
        <w:left w:val="none" w:sz="0" w:space="0" w:color="auto"/>
        <w:bottom w:val="none" w:sz="0" w:space="0" w:color="auto"/>
        <w:right w:val="none" w:sz="0" w:space="0" w:color="auto"/>
      </w:divBdr>
    </w:div>
    <w:div w:id="1258908224">
      <w:bodyDiv w:val="1"/>
      <w:marLeft w:val="0"/>
      <w:marRight w:val="0"/>
      <w:marTop w:val="0"/>
      <w:marBottom w:val="0"/>
      <w:divBdr>
        <w:top w:val="none" w:sz="0" w:space="0" w:color="auto"/>
        <w:left w:val="none" w:sz="0" w:space="0" w:color="auto"/>
        <w:bottom w:val="none" w:sz="0" w:space="0" w:color="auto"/>
        <w:right w:val="none" w:sz="0" w:space="0" w:color="auto"/>
      </w:divBdr>
    </w:div>
    <w:div w:id="1391460938">
      <w:bodyDiv w:val="1"/>
      <w:marLeft w:val="0"/>
      <w:marRight w:val="0"/>
      <w:marTop w:val="0"/>
      <w:marBottom w:val="0"/>
      <w:divBdr>
        <w:top w:val="none" w:sz="0" w:space="0" w:color="auto"/>
        <w:left w:val="none" w:sz="0" w:space="0" w:color="auto"/>
        <w:bottom w:val="none" w:sz="0" w:space="0" w:color="auto"/>
        <w:right w:val="none" w:sz="0" w:space="0" w:color="auto"/>
      </w:divBdr>
    </w:div>
    <w:div w:id="1402362297">
      <w:bodyDiv w:val="1"/>
      <w:marLeft w:val="0"/>
      <w:marRight w:val="0"/>
      <w:marTop w:val="0"/>
      <w:marBottom w:val="0"/>
      <w:divBdr>
        <w:top w:val="none" w:sz="0" w:space="0" w:color="auto"/>
        <w:left w:val="none" w:sz="0" w:space="0" w:color="auto"/>
        <w:bottom w:val="none" w:sz="0" w:space="0" w:color="auto"/>
        <w:right w:val="none" w:sz="0" w:space="0" w:color="auto"/>
      </w:divBdr>
    </w:div>
    <w:div w:id="1581938055">
      <w:bodyDiv w:val="1"/>
      <w:marLeft w:val="0"/>
      <w:marRight w:val="0"/>
      <w:marTop w:val="0"/>
      <w:marBottom w:val="0"/>
      <w:divBdr>
        <w:top w:val="none" w:sz="0" w:space="0" w:color="auto"/>
        <w:left w:val="none" w:sz="0" w:space="0" w:color="auto"/>
        <w:bottom w:val="none" w:sz="0" w:space="0" w:color="auto"/>
        <w:right w:val="none" w:sz="0" w:space="0" w:color="auto"/>
      </w:divBdr>
    </w:div>
    <w:div w:id="1614093746">
      <w:bodyDiv w:val="1"/>
      <w:marLeft w:val="0"/>
      <w:marRight w:val="0"/>
      <w:marTop w:val="0"/>
      <w:marBottom w:val="0"/>
      <w:divBdr>
        <w:top w:val="none" w:sz="0" w:space="0" w:color="auto"/>
        <w:left w:val="none" w:sz="0" w:space="0" w:color="auto"/>
        <w:bottom w:val="none" w:sz="0" w:space="0" w:color="auto"/>
        <w:right w:val="none" w:sz="0" w:space="0" w:color="auto"/>
      </w:divBdr>
    </w:div>
    <w:div w:id="1623269184">
      <w:bodyDiv w:val="1"/>
      <w:marLeft w:val="0"/>
      <w:marRight w:val="0"/>
      <w:marTop w:val="0"/>
      <w:marBottom w:val="0"/>
      <w:divBdr>
        <w:top w:val="none" w:sz="0" w:space="0" w:color="auto"/>
        <w:left w:val="none" w:sz="0" w:space="0" w:color="auto"/>
        <w:bottom w:val="none" w:sz="0" w:space="0" w:color="auto"/>
        <w:right w:val="none" w:sz="0" w:space="0" w:color="auto"/>
      </w:divBdr>
    </w:div>
    <w:div w:id="1666546319">
      <w:bodyDiv w:val="1"/>
      <w:marLeft w:val="0"/>
      <w:marRight w:val="0"/>
      <w:marTop w:val="0"/>
      <w:marBottom w:val="0"/>
      <w:divBdr>
        <w:top w:val="none" w:sz="0" w:space="0" w:color="auto"/>
        <w:left w:val="none" w:sz="0" w:space="0" w:color="auto"/>
        <w:bottom w:val="none" w:sz="0" w:space="0" w:color="auto"/>
        <w:right w:val="none" w:sz="0" w:space="0" w:color="auto"/>
      </w:divBdr>
    </w:div>
    <w:div w:id="1718697452">
      <w:bodyDiv w:val="1"/>
      <w:marLeft w:val="0"/>
      <w:marRight w:val="0"/>
      <w:marTop w:val="0"/>
      <w:marBottom w:val="0"/>
      <w:divBdr>
        <w:top w:val="none" w:sz="0" w:space="0" w:color="auto"/>
        <w:left w:val="none" w:sz="0" w:space="0" w:color="auto"/>
        <w:bottom w:val="none" w:sz="0" w:space="0" w:color="auto"/>
        <w:right w:val="none" w:sz="0" w:space="0" w:color="auto"/>
      </w:divBdr>
    </w:div>
    <w:div w:id="1726180951">
      <w:bodyDiv w:val="1"/>
      <w:marLeft w:val="0"/>
      <w:marRight w:val="0"/>
      <w:marTop w:val="0"/>
      <w:marBottom w:val="0"/>
      <w:divBdr>
        <w:top w:val="none" w:sz="0" w:space="0" w:color="auto"/>
        <w:left w:val="none" w:sz="0" w:space="0" w:color="auto"/>
        <w:bottom w:val="none" w:sz="0" w:space="0" w:color="auto"/>
        <w:right w:val="none" w:sz="0" w:space="0" w:color="auto"/>
      </w:divBdr>
    </w:div>
    <w:div w:id="1742095709">
      <w:bodyDiv w:val="1"/>
      <w:marLeft w:val="0"/>
      <w:marRight w:val="0"/>
      <w:marTop w:val="0"/>
      <w:marBottom w:val="0"/>
      <w:divBdr>
        <w:top w:val="none" w:sz="0" w:space="0" w:color="auto"/>
        <w:left w:val="none" w:sz="0" w:space="0" w:color="auto"/>
        <w:bottom w:val="none" w:sz="0" w:space="0" w:color="auto"/>
        <w:right w:val="none" w:sz="0" w:space="0" w:color="auto"/>
      </w:divBdr>
    </w:div>
    <w:div w:id="1743674686">
      <w:bodyDiv w:val="1"/>
      <w:marLeft w:val="0"/>
      <w:marRight w:val="0"/>
      <w:marTop w:val="0"/>
      <w:marBottom w:val="0"/>
      <w:divBdr>
        <w:top w:val="none" w:sz="0" w:space="0" w:color="auto"/>
        <w:left w:val="none" w:sz="0" w:space="0" w:color="auto"/>
        <w:bottom w:val="none" w:sz="0" w:space="0" w:color="auto"/>
        <w:right w:val="none" w:sz="0" w:space="0" w:color="auto"/>
      </w:divBdr>
    </w:div>
    <w:div w:id="1748189256">
      <w:bodyDiv w:val="1"/>
      <w:marLeft w:val="0"/>
      <w:marRight w:val="0"/>
      <w:marTop w:val="0"/>
      <w:marBottom w:val="0"/>
      <w:divBdr>
        <w:top w:val="none" w:sz="0" w:space="0" w:color="auto"/>
        <w:left w:val="none" w:sz="0" w:space="0" w:color="auto"/>
        <w:bottom w:val="none" w:sz="0" w:space="0" w:color="auto"/>
        <w:right w:val="none" w:sz="0" w:space="0" w:color="auto"/>
      </w:divBdr>
    </w:div>
    <w:div w:id="1756709355">
      <w:bodyDiv w:val="1"/>
      <w:marLeft w:val="0"/>
      <w:marRight w:val="0"/>
      <w:marTop w:val="0"/>
      <w:marBottom w:val="0"/>
      <w:divBdr>
        <w:top w:val="none" w:sz="0" w:space="0" w:color="auto"/>
        <w:left w:val="none" w:sz="0" w:space="0" w:color="auto"/>
        <w:bottom w:val="none" w:sz="0" w:space="0" w:color="auto"/>
        <w:right w:val="none" w:sz="0" w:space="0" w:color="auto"/>
      </w:divBdr>
    </w:div>
    <w:div w:id="1783300991">
      <w:bodyDiv w:val="1"/>
      <w:marLeft w:val="0"/>
      <w:marRight w:val="0"/>
      <w:marTop w:val="0"/>
      <w:marBottom w:val="0"/>
      <w:divBdr>
        <w:top w:val="none" w:sz="0" w:space="0" w:color="auto"/>
        <w:left w:val="none" w:sz="0" w:space="0" w:color="auto"/>
        <w:bottom w:val="none" w:sz="0" w:space="0" w:color="auto"/>
        <w:right w:val="none" w:sz="0" w:space="0" w:color="auto"/>
      </w:divBdr>
    </w:div>
    <w:div w:id="1785152196">
      <w:bodyDiv w:val="1"/>
      <w:marLeft w:val="0"/>
      <w:marRight w:val="0"/>
      <w:marTop w:val="0"/>
      <w:marBottom w:val="0"/>
      <w:divBdr>
        <w:top w:val="none" w:sz="0" w:space="0" w:color="auto"/>
        <w:left w:val="none" w:sz="0" w:space="0" w:color="auto"/>
        <w:bottom w:val="none" w:sz="0" w:space="0" w:color="auto"/>
        <w:right w:val="none" w:sz="0" w:space="0" w:color="auto"/>
      </w:divBdr>
    </w:div>
    <w:div w:id="1785953344">
      <w:bodyDiv w:val="1"/>
      <w:marLeft w:val="0"/>
      <w:marRight w:val="0"/>
      <w:marTop w:val="0"/>
      <w:marBottom w:val="0"/>
      <w:divBdr>
        <w:top w:val="none" w:sz="0" w:space="0" w:color="auto"/>
        <w:left w:val="none" w:sz="0" w:space="0" w:color="auto"/>
        <w:bottom w:val="none" w:sz="0" w:space="0" w:color="auto"/>
        <w:right w:val="none" w:sz="0" w:space="0" w:color="auto"/>
      </w:divBdr>
    </w:div>
    <w:div w:id="1875263569">
      <w:bodyDiv w:val="1"/>
      <w:marLeft w:val="0"/>
      <w:marRight w:val="0"/>
      <w:marTop w:val="0"/>
      <w:marBottom w:val="0"/>
      <w:divBdr>
        <w:top w:val="none" w:sz="0" w:space="0" w:color="auto"/>
        <w:left w:val="none" w:sz="0" w:space="0" w:color="auto"/>
        <w:bottom w:val="none" w:sz="0" w:space="0" w:color="auto"/>
        <w:right w:val="none" w:sz="0" w:space="0" w:color="auto"/>
      </w:divBdr>
    </w:div>
    <w:div w:id="1927155305">
      <w:bodyDiv w:val="1"/>
      <w:marLeft w:val="0"/>
      <w:marRight w:val="0"/>
      <w:marTop w:val="0"/>
      <w:marBottom w:val="0"/>
      <w:divBdr>
        <w:top w:val="none" w:sz="0" w:space="0" w:color="auto"/>
        <w:left w:val="none" w:sz="0" w:space="0" w:color="auto"/>
        <w:bottom w:val="none" w:sz="0" w:space="0" w:color="auto"/>
        <w:right w:val="none" w:sz="0" w:space="0" w:color="auto"/>
      </w:divBdr>
    </w:div>
    <w:div w:id="1930775545">
      <w:bodyDiv w:val="1"/>
      <w:marLeft w:val="0"/>
      <w:marRight w:val="0"/>
      <w:marTop w:val="0"/>
      <w:marBottom w:val="0"/>
      <w:divBdr>
        <w:top w:val="none" w:sz="0" w:space="0" w:color="auto"/>
        <w:left w:val="none" w:sz="0" w:space="0" w:color="auto"/>
        <w:bottom w:val="none" w:sz="0" w:space="0" w:color="auto"/>
        <w:right w:val="none" w:sz="0" w:space="0" w:color="auto"/>
      </w:divBdr>
    </w:div>
    <w:div w:id="1943950570">
      <w:bodyDiv w:val="1"/>
      <w:marLeft w:val="0"/>
      <w:marRight w:val="0"/>
      <w:marTop w:val="0"/>
      <w:marBottom w:val="0"/>
      <w:divBdr>
        <w:top w:val="none" w:sz="0" w:space="0" w:color="auto"/>
        <w:left w:val="none" w:sz="0" w:space="0" w:color="auto"/>
        <w:bottom w:val="none" w:sz="0" w:space="0" w:color="auto"/>
        <w:right w:val="none" w:sz="0" w:space="0" w:color="auto"/>
      </w:divBdr>
    </w:div>
    <w:div w:id="1954358999">
      <w:bodyDiv w:val="1"/>
      <w:marLeft w:val="0"/>
      <w:marRight w:val="0"/>
      <w:marTop w:val="0"/>
      <w:marBottom w:val="0"/>
      <w:divBdr>
        <w:top w:val="none" w:sz="0" w:space="0" w:color="auto"/>
        <w:left w:val="none" w:sz="0" w:space="0" w:color="auto"/>
        <w:bottom w:val="none" w:sz="0" w:space="0" w:color="auto"/>
        <w:right w:val="none" w:sz="0" w:space="0" w:color="auto"/>
      </w:divBdr>
    </w:div>
    <w:div w:id="2034964187">
      <w:bodyDiv w:val="1"/>
      <w:marLeft w:val="0"/>
      <w:marRight w:val="0"/>
      <w:marTop w:val="0"/>
      <w:marBottom w:val="0"/>
      <w:divBdr>
        <w:top w:val="none" w:sz="0" w:space="0" w:color="auto"/>
        <w:left w:val="none" w:sz="0" w:space="0" w:color="auto"/>
        <w:bottom w:val="none" w:sz="0" w:space="0" w:color="auto"/>
        <w:right w:val="none" w:sz="0" w:space="0" w:color="auto"/>
      </w:divBdr>
    </w:div>
    <w:div w:id="2050716971">
      <w:bodyDiv w:val="1"/>
      <w:marLeft w:val="0"/>
      <w:marRight w:val="0"/>
      <w:marTop w:val="0"/>
      <w:marBottom w:val="0"/>
      <w:divBdr>
        <w:top w:val="none" w:sz="0" w:space="0" w:color="auto"/>
        <w:left w:val="none" w:sz="0" w:space="0" w:color="auto"/>
        <w:bottom w:val="none" w:sz="0" w:space="0" w:color="auto"/>
        <w:right w:val="none" w:sz="0" w:space="0" w:color="auto"/>
      </w:divBdr>
    </w:div>
    <w:div w:id="2139489766">
      <w:bodyDiv w:val="1"/>
      <w:marLeft w:val="0"/>
      <w:marRight w:val="0"/>
      <w:marTop w:val="0"/>
      <w:marBottom w:val="0"/>
      <w:divBdr>
        <w:top w:val="none" w:sz="0" w:space="0" w:color="auto"/>
        <w:left w:val="none" w:sz="0" w:space="0" w:color="auto"/>
        <w:bottom w:val="none" w:sz="0" w:space="0" w:color="auto"/>
        <w:right w:val="none" w:sz="0" w:space="0" w:color="auto"/>
      </w:divBdr>
    </w:div>
    <w:div w:id="2146970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KYnxaDE0MVhgr5waZ935ejRO2g==">AMUW2mVpKl0xXVGGpUPwaR2qHkQRw31xqp1wTr0RB5RKDRgTIWL3HWowUO89vFHmX6EloR4kybSb5fb61WXI/ialWTUXnsMtRQT/Je8EzUHBLGcyHoD4MSbaE/7pnU/Kul0O7cU+VrIhEQ3iLBLCCktES9SQDHEO536K1vHoVGOyAT4J/we3rNVmBY/XSlpgVok7ublghwaOw/Y3Mh+bWeZ+cambALUS2Q==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66F826-B961-4613-A5E6-53A4717AB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3077</Words>
  <Characters>17545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nguyenhoanglong</dc:creator>
  <cp:lastModifiedBy>user1</cp:lastModifiedBy>
  <cp:revision>7</cp:revision>
  <cp:lastPrinted>2025-04-29T02:01:00Z</cp:lastPrinted>
  <dcterms:created xsi:type="dcterms:W3CDTF">2025-05-30T09:45:00Z</dcterms:created>
  <dcterms:modified xsi:type="dcterms:W3CDTF">2025-05-30T12:31:00Z</dcterms:modified>
</cp:coreProperties>
</file>