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909" w:type="dxa"/>
        <w:tblInd w:w="18" w:type="dxa"/>
        <w:tblLook w:val="04A0" w:firstRow="1" w:lastRow="0" w:firstColumn="1" w:lastColumn="0" w:noHBand="0" w:noVBand="1"/>
      </w:tblPr>
      <w:tblGrid>
        <w:gridCol w:w="5431"/>
        <w:gridCol w:w="7478"/>
      </w:tblGrid>
      <w:tr w:rsidR="0088745C" w:rsidTr="0088745C">
        <w:trPr>
          <w:trHeight w:val="266"/>
        </w:trPr>
        <w:tc>
          <w:tcPr>
            <w:tcW w:w="5431" w:type="dxa"/>
            <w:hideMark/>
          </w:tcPr>
          <w:p w:rsidR="0088745C" w:rsidRDefault="0088745C" w:rsidP="0088745C">
            <w:pPr>
              <w:tabs>
                <w:tab w:val="center" w:pos="1843"/>
                <w:tab w:val="center" w:pos="7088"/>
              </w:tabs>
              <w:spacing w:after="0" w:line="240" w:lineRule="auto"/>
              <w:jc w:val="center"/>
              <w:rPr>
                <w:iCs/>
                <w:sz w:val="26"/>
                <w:szCs w:val="26"/>
              </w:rPr>
            </w:pPr>
            <w:r>
              <w:rPr>
                <w:iCs/>
                <w:sz w:val="26"/>
                <w:szCs w:val="26"/>
              </w:rPr>
              <w:t>UBND TỈNH PHÚ YÊN</w:t>
            </w:r>
          </w:p>
          <w:p w:rsidR="0088745C" w:rsidRDefault="0088745C" w:rsidP="0088745C">
            <w:pPr>
              <w:tabs>
                <w:tab w:val="center" w:pos="1843"/>
                <w:tab w:val="center" w:pos="7088"/>
              </w:tabs>
              <w:spacing w:after="0" w:line="240" w:lineRule="auto"/>
              <w:jc w:val="center"/>
              <w:rPr>
                <w:iCs/>
                <w:sz w:val="26"/>
                <w:szCs w:val="26"/>
              </w:rPr>
            </w:pPr>
            <w:r>
              <w:rPr>
                <w:b/>
                <w:iCs/>
              </w:rPr>
              <w:t>SỞ TÀI CHÍNH</w:t>
            </w:r>
          </w:p>
        </w:tc>
        <w:tc>
          <w:tcPr>
            <w:tcW w:w="7478" w:type="dxa"/>
            <w:hideMark/>
          </w:tcPr>
          <w:p w:rsidR="0088745C" w:rsidRDefault="0088745C" w:rsidP="0088745C">
            <w:pPr>
              <w:tabs>
                <w:tab w:val="center" w:pos="1843"/>
                <w:tab w:val="center" w:pos="7088"/>
              </w:tabs>
              <w:spacing w:after="0" w:line="240" w:lineRule="auto"/>
              <w:ind w:right="-189"/>
              <w:jc w:val="center"/>
              <w:rPr>
                <w:b/>
                <w:iCs/>
                <w:sz w:val="26"/>
                <w:szCs w:val="26"/>
              </w:rPr>
            </w:pPr>
            <w:r>
              <w:rPr>
                <w:b/>
                <w:iCs/>
                <w:sz w:val="26"/>
                <w:szCs w:val="26"/>
              </w:rPr>
              <w:t>CỘNG HÒA XÃ HỘI CHỦ NGHĨA VIỆT NAM</w:t>
            </w:r>
          </w:p>
          <w:p w:rsidR="0088745C" w:rsidRDefault="0088745C" w:rsidP="0088745C">
            <w:pPr>
              <w:tabs>
                <w:tab w:val="center" w:pos="1843"/>
                <w:tab w:val="center" w:pos="7088"/>
              </w:tabs>
              <w:spacing w:after="0" w:line="240" w:lineRule="auto"/>
              <w:jc w:val="center"/>
              <w:rPr>
                <w:iCs/>
                <w:sz w:val="26"/>
                <w:szCs w:val="26"/>
              </w:rPr>
            </w:pPr>
            <w:r>
              <w:rPr>
                <w:b/>
                <w:iCs/>
              </w:rPr>
              <w:t>Độc lập -Tự do - hạnh phúc</w:t>
            </w:r>
          </w:p>
        </w:tc>
      </w:tr>
      <w:tr w:rsidR="0088745C" w:rsidTr="0088745C">
        <w:trPr>
          <w:trHeight w:val="400"/>
        </w:trPr>
        <w:tc>
          <w:tcPr>
            <w:tcW w:w="5431" w:type="dxa"/>
          </w:tcPr>
          <w:p w:rsidR="0088745C" w:rsidRDefault="0088745C" w:rsidP="00C23EC8">
            <w:pPr>
              <w:tabs>
                <w:tab w:val="center" w:pos="1843"/>
                <w:tab w:val="center" w:pos="7088"/>
              </w:tabs>
              <w:jc w:val="center"/>
              <w:rPr>
                <w:iCs/>
                <w:sz w:val="26"/>
                <w:szCs w:val="26"/>
              </w:rPr>
            </w:pPr>
            <w:r>
              <w:rPr>
                <w:noProof/>
                <w:szCs w:val="28"/>
              </w:rPr>
              <mc:AlternateContent>
                <mc:Choice Requires="wps">
                  <w:drawing>
                    <wp:anchor distT="0" distB="0" distL="114300" distR="114300" simplePos="0" relativeHeight="251658240" behindDoc="0" locked="0" layoutInCell="1" allowOverlap="1" wp14:anchorId="14A683F5" wp14:editId="53210F57">
                      <wp:simplePos x="0" y="0"/>
                      <wp:positionH relativeFrom="column">
                        <wp:posOffset>1274445</wp:posOffset>
                      </wp:positionH>
                      <wp:positionV relativeFrom="paragraph">
                        <wp:posOffset>-3810</wp:posOffset>
                      </wp:positionV>
                      <wp:extent cx="659765" cy="0"/>
                      <wp:effectExtent l="0" t="0" r="260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00.35pt;margin-top:-.3pt;width:51.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"/>
                  </w:pict>
                </mc:Fallback>
              </mc:AlternateContent>
            </w:r>
          </w:p>
          <w:p w:rsidR="00C23EC8" w:rsidRDefault="00C23EC8" w:rsidP="00C23EC8">
            <w:pPr>
              <w:tabs>
                <w:tab w:val="center" w:pos="1843"/>
                <w:tab w:val="center" w:pos="7088"/>
              </w:tabs>
              <w:jc w:val="center"/>
              <w:rPr>
                <w:iCs/>
                <w:sz w:val="24"/>
                <w:szCs w:val="24"/>
              </w:rPr>
            </w:pPr>
          </w:p>
        </w:tc>
        <w:tc>
          <w:tcPr>
            <w:tcW w:w="7478" w:type="dxa"/>
            <w:hideMark/>
          </w:tcPr>
          <w:p w:rsidR="0088745C" w:rsidRDefault="0088745C">
            <w:pPr>
              <w:tabs>
                <w:tab w:val="center" w:pos="1843"/>
                <w:tab w:val="center" w:pos="7088"/>
              </w:tabs>
              <w:jc w:val="center"/>
              <w:rPr>
                <w:iCs/>
                <w:sz w:val="26"/>
                <w:szCs w:val="26"/>
              </w:rPr>
            </w:pPr>
            <w:r>
              <w:rPr>
                <w:noProof/>
                <w:szCs w:val="28"/>
              </w:rPr>
              <mc:AlternateContent>
                <mc:Choice Requires="wps">
                  <w:drawing>
                    <wp:anchor distT="0" distB="0" distL="114300" distR="114300" simplePos="0" relativeHeight="251658240" behindDoc="0" locked="0" layoutInCell="1" allowOverlap="1" wp14:anchorId="5EEC1211" wp14:editId="217DFB08">
                      <wp:simplePos x="0" y="0"/>
                      <wp:positionH relativeFrom="column">
                        <wp:posOffset>1264285</wp:posOffset>
                      </wp:positionH>
                      <wp:positionV relativeFrom="paragraph">
                        <wp:posOffset>-3810</wp:posOffset>
                      </wp:positionV>
                      <wp:extent cx="1976755"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99.55pt;margin-top:-.3pt;width:155.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PW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"/>
                  </w:pict>
                </mc:Fallback>
              </mc:AlternateContent>
            </w:r>
            <w:r>
              <w:rPr>
                <w:i/>
                <w:iCs/>
                <w:sz w:val="26"/>
                <w:szCs w:val="26"/>
              </w:rPr>
              <w:t>Phú Yên, ngày     tháng 9</w:t>
            </w:r>
            <w:r>
              <w:rPr>
                <w:i/>
                <w:iCs/>
                <w:sz w:val="26"/>
                <w:szCs w:val="26"/>
              </w:rPr>
              <w:t xml:space="preserve"> năm 2025</w:t>
            </w:r>
          </w:p>
        </w:tc>
      </w:tr>
    </w:tbl>
    <w:p w:rsidR="00C46392" w:rsidRDefault="0088745C" w:rsidP="00C23EC8">
      <w:pPr>
        <w:spacing w:after="0"/>
        <w:jc w:val="center"/>
        <w:rPr>
          <w:b/>
        </w:rPr>
      </w:pPr>
      <w:r w:rsidRPr="0088745C">
        <w:rPr>
          <w:b/>
        </w:rPr>
        <w:t xml:space="preserve">BẢN SO SÁNH, THUYẾT MINH DỰ THẢO QUYẾT ĐỊNH BAN HÀNH DANH MỤC TÀI SẢN </w:t>
      </w:r>
    </w:p>
    <w:p w:rsidR="005A36C1" w:rsidRDefault="0088745C" w:rsidP="00C23EC8">
      <w:pPr>
        <w:spacing w:after="0"/>
        <w:jc w:val="center"/>
        <w:rPr>
          <w:b/>
        </w:rPr>
      </w:pPr>
      <w:r w:rsidRPr="0088745C">
        <w:rPr>
          <w:b/>
        </w:rPr>
        <w:t>MUA SẮM TẬP TRUNG THUỘC PHẠM VI QUẢN LÝ CỦA TỈNH ĐẮK LẮK</w:t>
      </w:r>
    </w:p>
    <w:p w:rsidR="00C23EC8" w:rsidRPr="00C23EC8" w:rsidRDefault="00C23EC8" w:rsidP="00C23EC8">
      <w:pPr>
        <w:spacing w:after="0"/>
        <w:jc w:val="center"/>
        <w:rPr>
          <w:i/>
        </w:rPr>
      </w:pPr>
      <w:r w:rsidRPr="00C23EC8">
        <w:rPr>
          <w:i/>
        </w:rPr>
        <w:t>(Kèm theo Công văn số:    /STC-QLG&amp;CS ngày    /9/2025 của Sở Tài chính)</w:t>
      </w:r>
    </w:p>
    <w:tbl>
      <w:tblPr>
        <w:tblStyle w:val="TableGrid"/>
        <w:tblW w:w="0" w:type="auto"/>
        <w:tblLook w:val="04A0" w:firstRow="1" w:lastRow="0" w:firstColumn="1" w:lastColumn="0" w:noHBand="0" w:noVBand="1"/>
      </w:tblPr>
      <w:tblGrid>
        <w:gridCol w:w="3510"/>
        <w:gridCol w:w="3686"/>
        <w:gridCol w:w="3118"/>
        <w:gridCol w:w="3686"/>
      </w:tblGrid>
      <w:tr w:rsidR="0088745C" w:rsidTr="003378C3">
        <w:trPr>
          <w:trHeight w:val="1190"/>
        </w:trPr>
        <w:tc>
          <w:tcPr>
            <w:tcW w:w="3510" w:type="dxa"/>
            <w:vAlign w:val="center"/>
          </w:tcPr>
          <w:p w:rsidR="0088745C" w:rsidRDefault="00CE1F9E" w:rsidP="00C46392">
            <w:pPr>
              <w:jc w:val="center"/>
              <w:rPr>
                <w:b/>
              </w:rPr>
            </w:pPr>
            <w:r>
              <w:rPr>
                <w:b/>
              </w:rPr>
              <w:t>Quyết định số 01/2022/QĐ-UBND ngày 18/01/2022 của UBND tỉnh Phú Yên</w:t>
            </w:r>
            <w:r w:rsidR="003378C3">
              <w:rPr>
                <w:b/>
              </w:rPr>
              <w:t xml:space="preserve"> (cũ)</w:t>
            </w:r>
          </w:p>
        </w:tc>
        <w:tc>
          <w:tcPr>
            <w:tcW w:w="3686" w:type="dxa"/>
            <w:vAlign w:val="center"/>
          </w:tcPr>
          <w:p w:rsidR="0088745C" w:rsidRDefault="00CE1F9E" w:rsidP="00C46392">
            <w:pPr>
              <w:jc w:val="center"/>
              <w:rPr>
                <w:b/>
              </w:rPr>
            </w:pPr>
            <w:r>
              <w:rPr>
                <w:b/>
              </w:rPr>
              <w:t>Quyết định số 3044/QĐ-UBND ngày 03/12/2024 của Chủ tịch UBND tỉnh Đắk Lắk</w:t>
            </w:r>
            <w:r w:rsidR="003378C3">
              <w:rPr>
                <w:b/>
              </w:rPr>
              <w:t xml:space="preserve"> (cũ)</w:t>
            </w:r>
          </w:p>
        </w:tc>
        <w:tc>
          <w:tcPr>
            <w:tcW w:w="3118" w:type="dxa"/>
            <w:vAlign w:val="center"/>
          </w:tcPr>
          <w:p w:rsidR="0088745C" w:rsidRDefault="00CE1F9E" w:rsidP="00C46392">
            <w:pPr>
              <w:jc w:val="center"/>
              <w:rPr>
                <w:b/>
              </w:rPr>
            </w:pPr>
            <w:r>
              <w:rPr>
                <w:b/>
              </w:rPr>
              <w:t>Dự thảo Quyết định</w:t>
            </w:r>
          </w:p>
        </w:tc>
        <w:tc>
          <w:tcPr>
            <w:tcW w:w="3686" w:type="dxa"/>
            <w:vAlign w:val="center"/>
          </w:tcPr>
          <w:p w:rsidR="0088745C" w:rsidRDefault="00CE1F9E" w:rsidP="00C46392">
            <w:pPr>
              <w:jc w:val="center"/>
              <w:rPr>
                <w:b/>
              </w:rPr>
            </w:pPr>
            <w:r>
              <w:rPr>
                <w:b/>
              </w:rPr>
              <w:t>Thuyết minh</w:t>
            </w:r>
          </w:p>
        </w:tc>
      </w:tr>
      <w:tr w:rsidR="00A15B90" w:rsidTr="003378C3">
        <w:tc>
          <w:tcPr>
            <w:tcW w:w="3510" w:type="dxa"/>
          </w:tcPr>
          <w:p w:rsidR="00A15B90" w:rsidRPr="00A15B90" w:rsidRDefault="00A15B90" w:rsidP="00C46392">
            <w:pPr>
              <w:jc w:val="both"/>
              <w:rPr>
                <w:b/>
              </w:rPr>
            </w:pPr>
            <w:r w:rsidRPr="00A15B90">
              <w:rPr>
                <w:b/>
              </w:rPr>
              <w:t>Điều 1. Phạm vi điều chỉnh</w:t>
            </w:r>
          </w:p>
          <w:p w:rsidR="00A15B90" w:rsidRPr="00CE1F9E" w:rsidRDefault="00A15B90" w:rsidP="00C46392">
            <w:pPr>
              <w:jc w:val="both"/>
            </w:pPr>
            <w:r>
              <w:t>Quy định danh mục tài sản mua sắm tập trung thuộc phạm vi quản lý của tỉnh Phú Yên</w:t>
            </w:r>
            <w:r w:rsidR="003378C3">
              <w:t>.</w:t>
            </w:r>
          </w:p>
        </w:tc>
        <w:tc>
          <w:tcPr>
            <w:tcW w:w="3686" w:type="dxa"/>
            <w:vMerge w:val="restart"/>
          </w:tcPr>
          <w:p w:rsidR="00A15B90" w:rsidRPr="00C44C1B" w:rsidRDefault="00A15B90" w:rsidP="00C46392">
            <w:pPr>
              <w:jc w:val="both"/>
              <w:rPr>
                <w:b/>
              </w:rPr>
            </w:pPr>
            <w:r w:rsidRPr="00C44C1B">
              <w:rPr>
                <w:b/>
              </w:rPr>
              <w:t>Điều 1. Phạm vi điều chỉnh và đối tượng áp dụng</w:t>
            </w:r>
          </w:p>
          <w:p w:rsidR="00A15B90" w:rsidRDefault="00A15B90" w:rsidP="00C46392">
            <w:pPr>
              <w:jc w:val="both"/>
            </w:pPr>
            <w:r>
              <w:t xml:space="preserve">- Phạm vi điều chỉnh: </w:t>
            </w:r>
            <w:r>
              <w:t xml:space="preserve">Quy định danh mục tài sản mua sắm tập trung thuộc phạm vi quản lý của tỉnh </w:t>
            </w:r>
            <w:r>
              <w:t>Đắk Lắk.</w:t>
            </w:r>
          </w:p>
          <w:p w:rsidR="00A15B90" w:rsidRDefault="00A15B90" w:rsidP="00C46392">
            <w:pPr>
              <w:jc w:val="both"/>
            </w:pPr>
            <w:r>
              <w:t>- Đối tượng áp dụng</w:t>
            </w:r>
          </w:p>
          <w:p w:rsidR="00A15B90" w:rsidRDefault="00A15B90" w:rsidP="00C46392">
            <w:pPr>
              <w:jc w:val="both"/>
            </w:pPr>
            <w:r>
              <w:t>+ Cơ quan nhà nước; đơn vị sự nghiệp công lập (trừ đơn vị sự nghiệp công lập tự đảm bảo chi thường xuyên và chi đầu tư, đơn vị sự nghiệp công lập tự đảm bảo chi thường xuyên).</w:t>
            </w:r>
          </w:p>
          <w:p w:rsidR="00A15B90" w:rsidRDefault="00A15B90" w:rsidP="00C46392">
            <w:pPr>
              <w:jc w:val="both"/>
            </w:pPr>
            <w:r>
              <w:t xml:space="preserve">+ Tổ chức chính trị - xã hội, tổ chức chính trị xã hội – nghề nghiệp; tổ chức xã hội, </w:t>
            </w:r>
            <w:r>
              <w:t>tổ chức xã hội – nghề nghiệp</w:t>
            </w:r>
            <w:r w:rsidR="00C44C1B">
              <w:t xml:space="preserve"> và các tổ </w:t>
            </w:r>
            <w:r w:rsidR="00C44C1B">
              <w:lastRenderedPageBreak/>
              <w:t>chức khác được thành lập theo quy định của pháp luật về hội sử dụng ngân sách nhà nước để mua sắm tài sản</w:t>
            </w:r>
          </w:p>
          <w:p w:rsidR="00C44C1B" w:rsidRPr="00CE1F9E" w:rsidRDefault="00C44C1B" w:rsidP="00C46392">
            <w:pPr>
              <w:jc w:val="both"/>
            </w:pPr>
            <w:r>
              <w:t>+ Cơ quan Đảng Cộng sản Việt Nam thực hiện mua sắm tài sản từ nguồn ngân sách nhà nước.</w:t>
            </w:r>
          </w:p>
        </w:tc>
        <w:tc>
          <w:tcPr>
            <w:tcW w:w="3118" w:type="dxa"/>
          </w:tcPr>
          <w:p w:rsidR="00C44C1B" w:rsidRDefault="00C44C1B" w:rsidP="00C46392">
            <w:pPr>
              <w:spacing w:before="120" w:after="120"/>
              <w:ind w:firstLine="75"/>
              <w:jc w:val="both"/>
              <w:rPr>
                <w:szCs w:val="28"/>
              </w:rPr>
            </w:pPr>
            <w:r w:rsidRPr="0008143D">
              <w:rPr>
                <w:b/>
                <w:szCs w:val="28"/>
              </w:rPr>
              <w:lastRenderedPageBreak/>
              <w:t xml:space="preserve">Điều 1. Phạm vi điều chỉnh </w:t>
            </w:r>
          </w:p>
          <w:p w:rsidR="00C44C1B" w:rsidRPr="00C44C1B" w:rsidRDefault="00C44C1B" w:rsidP="00C46392">
            <w:pPr>
              <w:spacing w:before="120" w:after="120"/>
              <w:ind w:firstLine="75"/>
              <w:jc w:val="both"/>
              <w:rPr>
                <w:szCs w:val="28"/>
              </w:rPr>
            </w:pPr>
            <w:r w:rsidRPr="0008143D">
              <w:rPr>
                <w:iCs/>
                <w:szCs w:val="28"/>
              </w:rPr>
              <w:t xml:space="preserve">Quyết định này quy định về </w:t>
            </w:r>
            <w:r>
              <w:rPr>
                <w:iCs/>
                <w:szCs w:val="28"/>
              </w:rPr>
              <w:t>danh mục tài sản mua sắm tập trung</w:t>
            </w:r>
            <w:r w:rsidRPr="0008143D">
              <w:rPr>
                <w:iCs/>
                <w:szCs w:val="28"/>
              </w:rPr>
              <w:t xml:space="preserve"> thuộc phạm vi quản lý của tỉnh </w:t>
            </w:r>
            <w:r>
              <w:rPr>
                <w:iCs/>
                <w:szCs w:val="28"/>
              </w:rPr>
              <w:t>Đắk Lắk</w:t>
            </w:r>
            <w:r w:rsidRPr="0008143D">
              <w:rPr>
                <w:iCs/>
                <w:szCs w:val="28"/>
              </w:rPr>
              <w:t>.</w:t>
            </w:r>
          </w:p>
          <w:p w:rsidR="00A15B90" w:rsidRPr="00CE1F9E" w:rsidRDefault="00A15B90" w:rsidP="00C46392">
            <w:pPr>
              <w:jc w:val="both"/>
            </w:pPr>
          </w:p>
        </w:tc>
        <w:tc>
          <w:tcPr>
            <w:tcW w:w="3686" w:type="dxa"/>
            <w:vAlign w:val="center"/>
          </w:tcPr>
          <w:p w:rsidR="00A15B90" w:rsidRPr="00CE1F9E" w:rsidRDefault="007C2F86" w:rsidP="00C46392">
            <w:pPr>
              <w:jc w:val="both"/>
            </w:pPr>
            <w:r>
              <w:rPr>
                <w:szCs w:val="28"/>
              </w:rPr>
              <w:t>T</w:t>
            </w:r>
            <w:r>
              <w:rPr>
                <w:szCs w:val="28"/>
              </w:rPr>
              <w:t xml:space="preserve">heo </w:t>
            </w:r>
            <w:r w:rsidRPr="00F51C57">
              <w:rPr>
                <w:bCs/>
              </w:rPr>
              <w:t xml:space="preserve">Nghị quyết số 202/2025/QH15 ngày 12/6/2025 của Quốc hội về việc sắp xếp đơn vị hành </w:t>
            </w:r>
            <w:r w:rsidRPr="0035568A">
              <w:rPr>
                <w:szCs w:val="28"/>
              </w:rPr>
              <w:t>chính cấp tỉnh; trong đó có nội dung sắp xếp toàn bộ diện tích tự nhiên, quy mô dân số của tỉnh Phú Yên và tỉnh Đắk Lắk thành tỉnh mới có tên gọi là tỉnh Đắk Lắk</w:t>
            </w:r>
            <w:r>
              <w:rPr>
                <w:szCs w:val="28"/>
              </w:rPr>
              <w:t>; do đó</w:t>
            </w:r>
            <w:r w:rsidRPr="00C46392">
              <w:rPr>
                <w:szCs w:val="28"/>
              </w:rPr>
              <w:t>, đ</w:t>
            </w:r>
            <w:r w:rsidRPr="00C46392">
              <w:rPr>
                <w:bCs/>
              </w:rPr>
              <w:t xml:space="preserve">ể </w:t>
            </w:r>
            <w:r w:rsidRPr="00C46392">
              <w:rPr>
                <w:bCs/>
              </w:rPr>
              <w:t>đảm bảo việc áp dụng quy định trên địa bàn tỉnh</w:t>
            </w:r>
            <w:r w:rsidRPr="00C46392">
              <w:rPr>
                <w:szCs w:val="28"/>
              </w:rPr>
              <w:t xml:space="preserve"> </w:t>
            </w:r>
            <w:r w:rsidRPr="00C46392">
              <w:rPr>
                <w:szCs w:val="28"/>
              </w:rPr>
              <w:t>được</w:t>
            </w:r>
            <w:r w:rsidRPr="00C46392">
              <w:rPr>
                <w:szCs w:val="28"/>
              </w:rPr>
              <w:t xml:space="preserve"> đồng bộ và thống nhất trên địa bàn tỉnh Đắk Lắ</w:t>
            </w:r>
            <w:r w:rsidR="00C46392" w:rsidRPr="00C46392">
              <w:rPr>
                <w:szCs w:val="28"/>
              </w:rPr>
              <w:t>k, Sở Tài chính dự thảo phạm vi điều chỉnh thuộc phạm vi quản lý của tỉnh Đắk Lắk</w:t>
            </w:r>
            <w:r w:rsidR="003378C3">
              <w:rPr>
                <w:szCs w:val="28"/>
              </w:rPr>
              <w:t>.</w:t>
            </w:r>
          </w:p>
        </w:tc>
      </w:tr>
      <w:tr w:rsidR="00A15B90" w:rsidTr="003378C3">
        <w:tc>
          <w:tcPr>
            <w:tcW w:w="3510" w:type="dxa"/>
          </w:tcPr>
          <w:p w:rsidR="00A15B90" w:rsidRPr="00A15B90" w:rsidRDefault="00A15B90" w:rsidP="00C46392">
            <w:pPr>
              <w:jc w:val="both"/>
              <w:rPr>
                <w:b/>
              </w:rPr>
            </w:pPr>
            <w:r w:rsidRPr="00A15B90">
              <w:rPr>
                <w:b/>
              </w:rPr>
              <w:lastRenderedPageBreak/>
              <w:t>Điều 2. Đối tượng áp dụng</w:t>
            </w:r>
          </w:p>
          <w:p w:rsidR="00A15B90" w:rsidRDefault="00A15B90" w:rsidP="00C46392">
            <w:pPr>
              <w:jc w:val="both"/>
            </w:pPr>
            <w:r>
              <w:t>- Đơn vị thực hiện MSTT</w:t>
            </w:r>
          </w:p>
          <w:p w:rsidR="00A15B90" w:rsidRPr="00CE1F9E" w:rsidRDefault="00A15B90" w:rsidP="00C46392">
            <w:pPr>
              <w:jc w:val="both"/>
            </w:pPr>
            <w:r>
              <w:t>- Các cơ quan nhà nước, cơ quan Đảng Cộng sản, đơn vị sự nghiệp công lập, tỏ chức chính trị, tổ chức chính trị - xã hội, tổ chức chính trị xã hội – nghề nghiệp, tổ chức xã hội, tổ chức xã hội – nghề nghiệp, các Ban Quản lý sử dụng vốn nhà nước thuộc phạm vi tỉnh quản lý</w:t>
            </w:r>
            <w:r w:rsidR="003378C3">
              <w:t>.</w:t>
            </w:r>
          </w:p>
        </w:tc>
        <w:tc>
          <w:tcPr>
            <w:tcW w:w="3686" w:type="dxa"/>
            <w:vMerge/>
          </w:tcPr>
          <w:p w:rsidR="00A15B90" w:rsidRPr="00CE1F9E" w:rsidRDefault="00A15B90" w:rsidP="00C46392">
            <w:pPr>
              <w:jc w:val="both"/>
            </w:pPr>
          </w:p>
        </w:tc>
        <w:tc>
          <w:tcPr>
            <w:tcW w:w="3118" w:type="dxa"/>
          </w:tcPr>
          <w:p w:rsidR="00C44C1B" w:rsidRPr="0008143D" w:rsidRDefault="00C44C1B" w:rsidP="00C46392">
            <w:pPr>
              <w:spacing w:before="120" w:after="120"/>
              <w:ind w:firstLine="75"/>
              <w:jc w:val="both"/>
              <w:rPr>
                <w:b/>
                <w:szCs w:val="28"/>
              </w:rPr>
            </w:pPr>
            <w:r w:rsidRPr="0008143D">
              <w:rPr>
                <w:b/>
                <w:szCs w:val="28"/>
              </w:rPr>
              <w:t>Điều 2. Đối tượng áp dụng</w:t>
            </w:r>
          </w:p>
          <w:p w:rsidR="00C44C1B" w:rsidRDefault="00C44C1B" w:rsidP="00C46392">
            <w:pPr>
              <w:spacing w:before="80" w:after="80"/>
              <w:ind w:firstLine="75"/>
              <w:jc w:val="both"/>
              <w:rPr>
                <w:szCs w:val="28"/>
              </w:rPr>
            </w:pPr>
            <w:r>
              <w:rPr>
                <w:szCs w:val="28"/>
              </w:rPr>
              <w:t>a) Đơn vị thực hiện mua sắm tập trung của tỉnh.</w:t>
            </w:r>
          </w:p>
          <w:p w:rsidR="00C44C1B" w:rsidRDefault="00C44C1B" w:rsidP="00C46392">
            <w:pPr>
              <w:spacing w:before="80" w:after="80"/>
              <w:ind w:firstLine="75"/>
              <w:jc w:val="both"/>
              <w:rPr>
                <w:szCs w:val="28"/>
              </w:rPr>
            </w:pPr>
            <w:r>
              <w:rPr>
                <w:szCs w:val="28"/>
              </w:rPr>
              <w:t>b) Cơ quan nhà nước, đơn vị sự nghiệp công lập (trừ đơn vị sự nghiệp công lập tự đảm bảo chi thường xuyên và chi đầu tư, đơn vị sự nghiệp công lập tự đảm bảo chi thường xuyên).</w:t>
            </w:r>
          </w:p>
          <w:p w:rsidR="00C44C1B" w:rsidRDefault="00C44C1B" w:rsidP="00C46392">
            <w:pPr>
              <w:spacing w:before="80" w:after="80"/>
              <w:ind w:firstLine="75"/>
              <w:jc w:val="both"/>
              <w:rPr>
                <w:szCs w:val="28"/>
              </w:rPr>
            </w:pPr>
            <w:r>
              <w:rPr>
                <w:szCs w:val="28"/>
              </w:rPr>
              <w:t>c) Cơ quan Đảng Cộng sản Việt Nam thực hiện mua sắm tài sản từ nguồn ngân sách nhà nước.</w:t>
            </w:r>
          </w:p>
          <w:p w:rsidR="00A15B90" w:rsidRPr="00CE1F9E" w:rsidRDefault="00C44C1B" w:rsidP="00C46392">
            <w:pPr>
              <w:ind w:firstLine="75"/>
              <w:jc w:val="both"/>
            </w:pPr>
            <w:r>
              <w:rPr>
                <w:szCs w:val="28"/>
              </w:rPr>
              <w:t xml:space="preserve">d) </w:t>
            </w:r>
            <w:r w:rsidR="00C23EC8">
              <w:rPr>
                <w:szCs w:val="28"/>
              </w:rPr>
              <w:t xml:space="preserve">Ủy ban </w:t>
            </w:r>
            <w:r>
              <w:rPr>
                <w:szCs w:val="28"/>
              </w:rPr>
              <w:t>Mặt trận Tổ Quốc Việt Nam</w:t>
            </w:r>
            <w:r w:rsidR="00C23EC8">
              <w:rPr>
                <w:szCs w:val="28"/>
              </w:rPr>
              <w:t xml:space="preserve"> tỉnh</w:t>
            </w:r>
            <w:r>
              <w:rPr>
                <w:szCs w:val="28"/>
              </w:rPr>
              <w:t xml:space="preserve"> (bao gồm tổ chức chính trị - xã hội và tổ chức hội được Đảng, Nhà nước giao nhiệm vụ trực thuộc Mặt trận Tổ quốc Việt Nam), tổ chức chính trị xã hội - nghề nghiệp, tổ chức xã hội, tổ chức xã hội - nghề nghiệp và các tổ chức khác được thành lập theo quy định của </w:t>
            </w:r>
            <w:r>
              <w:rPr>
                <w:szCs w:val="28"/>
              </w:rPr>
              <w:lastRenderedPageBreak/>
              <w:t>pháp luật về hội sử dụng ngân sách nhà nước để mua sắm tài sản.</w:t>
            </w:r>
          </w:p>
        </w:tc>
        <w:tc>
          <w:tcPr>
            <w:tcW w:w="3686" w:type="dxa"/>
          </w:tcPr>
          <w:p w:rsidR="00A15B90" w:rsidRPr="00CE1F9E" w:rsidRDefault="007C2F86" w:rsidP="00C46392">
            <w:pPr>
              <w:jc w:val="both"/>
            </w:pPr>
            <w:r>
              <w:lastRenderedPageBreak/>
              <w:t>T</w:t>
            </w:r>
            <w:r w:rsidR="00C46392">
              <w:t>hực hiện t</w:t>
            </w:r>
            <w:r>
              <w:t>heo Điều 2 và khoản 3 Điều 76 Nghị định số 186/2025/NĐ-CP ngày 01/7/2025</w:t>
            </w:r>
            <w:r w:rsidR="006D2702">
              <w:t xml:space="preserve"> của Chính phủ</w:t>
            </w:r>
            <w:r>
              <w:t xml:space="preserve"> quy định chi tiết một số điều của Luật Quản lý, sử dụng tài sản công</w:t>
            </w:r>
            <w:r w:rsidR="00072786">
              <w:t xml:space="preserve"> quy định về đối tượng áp dụng và các loại tài sản không áp dụng thực hiện MSTT</w:t>
            </w:r>
            <w:r w:rsidR="003378C3">
              <w:t>.</w:t>
            </w:r>
          </w:p>
        </w:tc>
      </w:tr>
      <w:tr w:rsidR="0088745C" w:rsidTr="003378C3">
        <w:tc>
          <w:tcPr>
            <w:tcW w:w="3510" w:type="dxa"/>
          </w:tcPr>
          <w:p w:rsidR="0088745C" w:rsidRPr="00A15B90" w:rsidRDefault="00CE1F9E" w:rsidP="00C46392">
            <w:pPr>
              <w:jc w:val="both"/>
              <w:rPr>
                <w:b/>
              </w:rPr>
            </w:pPr>
            <w:r w:rsidRPr="00A15B90">
              <w:rPr>
                <w:b/>
              </w:rPr>
              <w:lastRenderedPageBreak/>
              <w:t xml:space="preserve">Điều 3. Danh mục tài sản </w:t>
            </w:r>
            <w:r w:rsidR="00C44C1B">
              <w:rPr>
                <w:b/>
              </w:rPr>
              <w:t>MSTT</w:t>
            </w:r>
          </w:p>
          <w:p w:rsidR="00A15B90" w:rsidRPr="00CE1F9E" w:rsidRDefault="00A15B90" w:rsidP="00C46392">
            <w:pPr>
              <w:jc w:val="both"/>
            </w:pPr>
            <w:r>
              <w:t>Máy photocopy</w:t>
            </w:r>
          </w:p>
        </w:tc>
        <w:tc>
          <w:tcPr>
            <w:tcW w:w="3686" w:type="dxa"/>
          </w:tcPr>
          <w:p w:rsidR="0088745C" w:rsidRPr="00C44C1B" w:rsidRDefault="00C44C1B" w:rsidP="00C46392">
            <w:pPr>
              <w:jc w:val="both"/>
              <w:rPr>
                <w:b/>
              </w:rPr>
            </w:pPr>
            <w:r w:rsidRPr="00C44C1B">
              <w:rPr>
                <w:b/>
              </w:rPr>
              <w:t>Điều 2. Danh mục tài sản MSTT</w:t>
            </w:r>
          </w:p>
          <w:p w:rsidR="00C44C1B" w:rsidRDefault="00C44C1B" w:rsidP="00C46392">
            <w:pPr>
              <w:jc w:val="both"/>
            </w:pPr>
            <w:r>
              <w:t>- Bộ máy tính để bàn (bao gồm: máy tính xách tay), máy in: số lượng từ 05 bộ/máy trở lên cho mỗi loại tài sản với mỗi đơn vị trực tiếp sử dụng.</w:t>
            </w:r>
          </w:p>
          <w:p w:rsidR="00C44C1B" w:rsidRPr="00CE1F9E" w:rsidRDefault="00C44C1B" w:rsidP="00C46392">
            <w:pPr>
              <w:jc w:val="both"/>
            </w:pPr>
            <w:r>
              <w:t>- Máy photocopy</w:t>
            </w:r>
          </w:p>
        </w:tc>
        <w:tc>
          <w:tcPr>
            <w:tcW w:w="3118" w:type="dxa"/>
          </w:tcPr>
          <w:p w:rsidR="00C44C1B" w:rsidRPr="0008143D" w:rsidRDefault="00C44C1B" w:rsidP="00C46392">
            <w:pPr>
              <w:spacing w:before="120" w:after="120"/>
              <w:ind w:firstLine="75"/>
              <w:jc w:val="both"/>
              <w:rPr>
                <w:b/>
                <w:szCs w:val="28"/>
              </w:rPr>
            </w:pPr>
            <w:r w:rsidRPr="0008143D">
              <w:rPr>
                <w:b/>
                <w:szCs w:val="28"/>
              </w:rPr>
              <w:t xml:space="preserve">Điều 3. </w:t>
            </w:r>
            <w:r>
              <w:rPr>
                <w:b/>
                <w:szCs w:val="28"/>
              </w:rPr>
              <w:t>Danh mục tài sản mua sắm tập trung</w:t>
            </w:r>
          </w:p>
          <w:p w:rsidR="00C44C1B" w:rsidRPr="00DA2E0C" w:rsidRDefault="00C44C1B" w:rsidP="00C46392">
            <w:pPr>
              <w:spacing w:before="120" w:after="120"/>
              <w:ind w:firstLine="75"/>
              <w:jc w:val="both"/>
              <w:rPr>
                <w:szCs w:val="28"/>
              </w:rPr>
            </w:pPr>
            <w:r w:rsidRPr="00DA2E0C">
              <w:rPr>
                <w:szCs w:val="28"/>
              </w:rPr>
              <w:t>Máy photocopy.</w:t>
            </w:r>
          </w:p>
          <w:p w:rsidR="0088745C" w:rsidRPr="00CE1F9E" w:rsidRDefault="0088745C" w:rsidP="00C46392">
            <w:pPr>
              <w:ind w:firstLine="75"/>
              <w:jc w:val="both"/>
            </w:pPr>
          </w:p>
        </w:tc>
        <w:tc>
          <w:tcPr>
            <w:tcW w:w="3686" w:type="dxa"/>
            <w:vAlign w:val="center"/>
          </w:tcPr>
          <w:p w:rsidR="006D2702" w:rsidRDefault="00C23EC8" w:rsidP="00C23EC8">
            <w:pPr>
              <w:jc w:val="both"/>
            </w:pPr>
            <w:r>
              <w:t>Trước đây, tỉnh Đắk Lắk (cũ) thực hiện MSTT đối với máy tính bàn, máy in, máy photocopy; tỉnh Phú Yên (cũ) thực hiện MSTT đối với máy photocopy. Qua thời gian triển khai thực hiện, Sở Tài chính nhận thấy công tác tổ chức MSTT thường mất nhiều thời gian (từ 2 đến 4 tháng) do phải thực hiện việc tổng hợp nhu cầu của đơn vị, phân loại tài sản, tổ chức thẩm định giá, tổ chức lựa chọn nhà thầu,…theo quy trình của Luật Đấu thầu.</w:t>
            </w:r>
          </w:p>
          <w:p w:rsidR="00C23EC8" w:rsidRDefault="00C23EC8" w:rsidP="00C23EC8">
            <w:pPr>
              <w:jc w:val="both"/>
            </w:pPr>
            <w:r>
              <w:t>Đối với máy vi tính, máy in là thiết bị văn phòng phổ biến, thường xuyên hư hỏng cần phải sửa chữa hoặc thay thế ngay. Do đó, việc tổ chức MSTT đối với các tài sản này thường tốn nhiều thời gian, không đảm bảo kịp thời hoạt động của các đơn vị, nhất là trong giai đoạn chuyển đổi số và sáp nhập đơn vị hành chính như hiện nay.</w:t>
            </w:r>
          </w:p>
          <w:p w:rsidR="00C23EC8" w:rsidRPr="00CE1F9E" w:rsidRDefault="00C23EC8" w:rsidP="00C23EC8">
            <w:pPr>
              <w:jc w:val="both"/>
            </w:pPr>
            <w:r>
              <w:lastRenderedPageBreak/>
              <w:t>Để bước đầu tổ chức công tác MSTT hiệu quả, kịp thời sau khi sắp xếp đơn vị hành chính, Sở Tài chính đề xuất tiếp tục quy định Danh mục tài sản MSTT là “máy photocopy” để triển khai thực hiện.</w:t>
            </w:r>
          </w:p>
        </w:tc>
      </w:tr>
      <w:tr w:rsidR="00C44C1B" w:rsidTr="004D70C0">
        <w:tc>
          <w:tcPr>
            <w:tcW w:w="3510" w:type="dxa"/>
          </w:tcPr>
          <w:p w:rsidR="00C44C1B" w:rsidRPr="00A15B90" w:rsidRDefault="00C44C1B" w:rsidP="00C46392">
            <w:pPr>
              <w:jc w:val="both"/>
              <w:rPr>
                <w:b/>
              </w:rPr>
            </w:pPr>
            <w:bookmarkStart w:id="0" w:name="_GoBack" w:colFirst="3" w:colLast="3"/>
          </w:p>
        </w:tc>
        <w:tc>
          <w:tcPr>
            <w:tcW w:w="3686" w:type="dxa"/>
          </w:tcPr>
          <w:p w:rsidR="00C44C1B" w:rsidRDefault="00C44C1B" w:rsidP="00C46392">
            <w:pPr>
              <w:jc w:val="both"/>
              <w:rPr>
                <w:b/>
              </w:rPr>
            </w:pPr>
            <w:r w:rsidRPr="00C44C1B">
              <w:rPr>
                <w:b/>
              </w:rPr>
              <w:t>Điều 3. Quy định cụ thể trong việc MSTT</w:t>
            </w:r>
          </w:p>
          <w:p w:rsidR="00C44C1B" w:rsidRPr="009B7E71" w:rsidRDefault="00C44C1B" w:rsidP="00C46392">
            <w:pPr>
              <w:ind w:firstLine="108"/>
              <w:jc w:val="both"/>
              <w:rPr>
                <w:iCs/>
                <w:color w:val="000000"/>
                <w:szCs w:val="28"/>
              </w:rPr>
            </w:pPr>
            <w:r w:rsidRPr="009B7E71">
              <w:rPr>
                <w:iCs/>
                <w:color w:val="000000"/>
                <w:szCs w:val="28"/>
              </w:rPr>
              <w:t>1. Việc mua sắm tập trung được thực hiện theo cách thức ký thỏa thuận khung, trừ các trường hợp sau đây được thực hiện theo cách thức ký hợp đồng trực tiếp:</w:t>
            </w:r>
          </w:p>
          <w:p w:rsidR="00C44C1B" w:rsidRPr="009B7E71" w:rsidRDefault="00C44C1B" w:rsidP="00C46392">
            <w:pPr>
              <w:ind w:firstLine="540"/>
              <w:jc w:val="both"/>
              <w:rPr>
                <w:szCs w:val="28"/>
              </w:rPr>
            </w:pPr>
            <w:r w:rsidRPr="009B7E71">
              <w:rPr>
                <w:iCs/>
                <w:color w:val="000000"/>
                <w:szCs w:val="28"/>
              </w:rPr>
              <w:t>a) Mua tài sản thuộc các chương trình, dự án sử dụng nguồn vốn viện trợ, tài trợ của các tổ chức, cá nhân trong và ngoài nước thuộc ng</w:t>
            </w:r>
            <w:r w:rsidRPr="009B7E71">
              <w:rPr>
                <w:szCs w:val="28"/>
              </w:rPr>
              <w:t>uồn ngân sách nhà nước mà nhà tài trợ có yêu cầu áp dụng theo cách thức ký hợp đồng trực tiếp;</w:t>
            </w:r>
          </w:p>
          <w:p w:rsidR="00C44C1B" w:rsidRPr="009B7E71" w:rsidRDefault="00C44C1B" w:rsidP="00C46392">
            <w:pPr>
              <w:ind w:firstLine="540"/>
              <w:jc w:val="both"/>
              <w:rPr>
                <w:szCs w:val="28"/>
              </w:rPr>
            </w:pPr>
            <w:r w:rsidRPr="009B7E71">
              <w:rPr>
                <w:szCs w:val="28"/>
              </w:rPr>
              <w:t>b) Cơ quan, người có thẩm quyền giao dự toán mua sắm cho đơn vị mua sắm tập trung theo quy định của pháp luật.</w:t>
            </w:r>
          </w:p>
          <w:p w:rsidR="00C44C1B" w:rsidRPr="009B7E71" w:rsidRDefault="00C44C1B" w:rsidP="00C46392">
            <w:pPr>
              <w:ind w:firstLine="540"/>
              <w:jc w:val="both"/>
              <w:rPr>
                <w:szCs w:val="28"/>
              </w:rPr>
            </w:pPr>
            <w:r w:rsidRPr="009B7E71">
              <w:rPr>
                <w:szCs w:val="28"/>
              </w:rPr>
              <w:t xml:space="preserve">2. Quy trình thực hiện mua sắm tập trung </w:t>
            </w:r>
          </w:p>
          <w:p w:rsidR="00C44C1B" w:rsidRPr="009B7E71" w:rsidRDefault="00C44C1B" w:rsidP="00C46392">
            <w:pPr>
              <w:ind w:firstLine="540"/>
              <w:jc w:val="both"/>
              <w:rPr>
                <w:szCs w:val="28"/>
              </w:rPr>
            </w:pPr>
            <w:r w:rsidRPr="009B7E71">
              <w:rPr>
                <w:szCs w:val="28"/>
              </w:rPr>
              <w:lastRenderedPageBreak/>
              <w:t xml:space="preserve">Quy trình mua sắm tập trung được thực hiện theo quy định của Luật Đấu thầu ngày 23 tháng 6 năm 2023; Nghị định số 24/2024/NĐ-CP ngày 27 tháng 02 năm 2024 của Chính phủ quy định chi tiết một số điều và biện pháp thi hành Luật Đấu thầu về lựa chọn nhà thầu và pháp luật hiện hành khác có liên quan; trong đó: </w:t>
            </w:r>
          </w:p>
          <w:p w:rsidR="00C44C1B" w:rsidRPr="009B7E71" w:rsidRDefault="00C44C1B" w:rsidP="00C46392">
            <w:pPr>
              <w:ind w:firstLine="540"/>
              <w:jc w:val="both"/>
              <w:rPr>
                <w:szCs w:val="28"/>
              </w:rPr>
            </w:pPr>
            <w:r w:rsidRPr="009B7E71">
              <w:rPr>
                <w:szCs w:val="28"/>
              </w:rPr>
              <w:t>a) Căn cứ dự toán ngân sách được giao và nguồn kinh phí được phép sử dụng, cơ quan, tổ chức, đơn vị có nhu cầu mua sắm tài sản thuộc danh mục mua sắm tập trung có trách nhiệm lập văn bản đăng ký mua sắm tập trung, gửi cơ quan quản lý cấp trên (sau đây gọi là đầu mối đăng ký mua sắm tập trung) để tổng hợp gửi</w:t>
            </w:r>
            <w:r w:rsidRPr="009B7E71">
              <w:rPr>
                <w:b/>
                <w:i/>
                <w:szCs w:val="28"/>
                <w:lang w:val="vi-VN"/>
              </w:rPr>
              <w:t xml:space="preserve"> </w:t>
            </w:r>
            <w:r w:rsidRPr="009B7E71">
              <w:rPr>
                <w:szCs w:val="28"/>
              </w:rPr>
              <w:t>đơn vị mua sắm tập trung</w:t>
            </w:r>
            <w:r w:rsidRPr="009B7E71">
              <w:rPr>
                <w:szCs w:val="28"/>
                <w:lang w:val="vi-VN"/>
              </w:rPr>
              <w:t xml:space="preserve"> </w:t>
            </w:r>
            <w:r w:rsidRPr="009B7E71">
              <w:rPr>
                <w:szCs w:val="28"/>
              </w:rPr>
              <w:t>(</w:t>
            </w:r>
            <w:r w:rsidRPr="009B7E71">
              <w:rPr>
                <w:szCs w:val="28"/>
                <w:lang w:val="vi-VN"/>
              </w:rPr>
              <w:t>Trung tâm Dịch vụ đấu giá tài sản</w:t>
            </w:r>
            <w:r w:rsidRPr="009B7E71">
              <w:rPr>
                <w:szCs w:val="28"/>
              </w:rPr>
              <w:t>)</w:t>
            </w:r>
            <w:r w:rsidRPr="009B7E71">
              <w:rPr>
                <w:b/>
                <w:i/>
                <w:szCs w:val="28"/>
              </w:rPr>
              <w:t xml:space="preserve"> </w:t>
            </w:r>
            <w:r w:rsidRPr="00230034">
              <w:rPr>
                <w:b/>
                <w:i/>
                <w:szCs w:val="28"/>
              </w:rPr>
              <w:t>trước ngày 01/04 hàng năm.</w:t>
            </w:r>
            <w:r w:rsidRPr="009B7E71">
              <w:rPr>
                <w:b/>
                <w:i/>
                <w:szCs w:val="28"/>
              </w:rPr>
              <w:t xml:space="preserve"> </w:t>
            </w:r>
            <w:r w:rsidRPr="009B7E71">
              <w:rPr>
                <w:szCs w:val="28"/>
              </w:rPr>
              <w:t xml:space="preserve">Trường hợp quá thời hạn quy định mà cơ quan, tổ chức, đơn vị không gửi đăng ký nhu cầu mua sắp tập </w:t>
            </w:r>
            <w:r w:rsidRPr="009B7E71">
              <w:rPr>
                <w:szCs w:val="28"/>
              </w:rPr>
              <w:lastRenderedPageBreak/>
              <w:t>trung thì không được phép mua sắm tài sản theo dự toán được giao.</w:t>
            </w:r>
          </w:p>
          <w:p w:rsidR="00C44C1B" w:rsidRPr="00C44C1B" w:rsidRDefault="00C44C1B" w:rsidP="00C46392">
            <w:pPr>
              <w:shd w:val="clear" w:color="auto" w:fill="FFFFFF"/>
              <w:ind w:firstLine="540"/>
              <w:jc w:val="both"/>
              <w:rPr>
                <w:color w:val="FF0000"/>
                <w:szCs w:val="28"/>
              </w:rPr>
            </w:pPr>
            <w:r w:rsidRPr="009B7E71">
              <w:rPr>
                <w:szCs w:val="28"/>
              </w:rPr>
              <w:t>b) Trường hợp phát sinh nhu cầu mua sắm tài sản thuộc danh mục mua sắm tập trung ngoài dự toán được giao đầu năm</w:t>
            </w:r>
            <w:r w:rsidRPr="009B7E71">
              <w:rPr>
                <w:szCs w:val="28"/>
                <w:lang w:val="vi-VN"/>
              </w:rPr>
              <w:t xml:space="preserve"> và đã được cơ quan, người có thẩm quyền phê duyệt bổ sung dự toán mua sắm mà đã hết thời hạn tổng hợp nhu cầu mua sắm tập trung, cơ quan, tổ chức, đơn vị có nhu cầu mua sắm báo cáo </w:t>
            </w:r>
            <w:r w:rsidRPr="009B7E71">
              <w:rPr>
                <w:szCs w:val="28"/>
              </w:rPr>
              <w:t>UBND tỉnh (thông qua Sở Tài chính)</w:t>
            </w:r>
            <w:r w:rsidRPr="009B7E71">
              <w:rPr>
                <w:szCs w:val="28"/>
                <w:lang w:val="vi-VN"/>
              </w:rPr>
              <w:t xml:space="preserve"> xem xét, quyết định giao cơ quan, tổ chức, đơn vị có nhu cầu về tài sản tổ chức thực hiện mua sắm theo quy</w:t>
            </w:r>
            <w:r>
              <w:rPr>
                <w:szCs w:val="28"/>
                <w:lang w:val="vi-VN"/>
              </w:rPr>
              <w:t xml:space="preserve"> định của pháp luật về đấu thầu</w:t>
            </w:r>
            <w:r w:rsidRPr="009B7E71">
              <w:rPr>
                <w:szCs w:val="28"/>
              </w:rPr>
              <w:t xml:space="preserve"> (</w:t>
            </w:r>
            <w:r w:rsidRPr="009B7E71">
              <w:rPr>
                <w:i/>
                <w:iCs/>
                <w:szCs w:val="28"/>
              </w:rPr>
              <w:t>trong đó, ưu tiên mua sắm theo kết quả lựa chọn nhà thầu mua sắm tập trung và thỏa thuận khung được ký kết tại thời điểm gần nhất).</w:t>
            </w:r>
          </w:p>
        </w:tc>
        <w:tc>
          <w:tcPr>
            <w:tcW w:w="3118" w:type="dxa"/>
          </w:tcPr>
          <w:p w:rsidR="00C44C1B" w:rsidRPr="00CE1F9E" w:rsidRDefault="00C44C1B" w:rsidP="00C46392">
            <w:pPr>
              <w:jc w:val="both"/>
            </w:pPr>
          </w:p>
        </w:tc>
        <w:tc>
          <w:tcPr>
            <w:tcW w:w="3686" w:type="dxa"/>
          </w:tcPr>
          <w:p w:rsidR="00C44C1B" w:rsidRPr="00CE1F9E" w:rsidRDefault="006D2702" w:rsidP="004D70C0">
            <w:pPr>
              <w:jc w:val="both"/>
            </w:pPr>
            <w:r>
              <w:t>Tại Chương VI Nghị định số</w:t>
            </w:r>
            <w:r>
              <w:t xml:space="preserve"> 186/2025/NĐ-CP ngày 01/7/2025 của Chính phủ </w:t>
            </w:r>
            <w:r>
              <w:t xml:space="preserve">đã quy định chi tiết trình tự, thủ tục mua sắm tài sản công tại cơ quan, tổ chức, đơn vị theo phương thức mua sắm tập trung, do đó, Sở Tài chính đề xuất không đưa nội dung này vào dự thảo Quyết định. </w:t>
            </w:r>
          </w:p>
        </w:tc>
      </w:tr>
      <w:bookmarkEnd w:id="0"/>
    </w:tbl>
    <w:p w:rsidR="0088745C" w:rsidRPr="0088745C" w:rsidRDefault="0088745C" w:rsidP="0088745C">
      <w:pPr>
        <w:jc w:val="center"/>
        <w:rPr>
          <w:b/>
        </w:rPr>
      </w:pPr>
    </w:p>
    <w:sectPr w:rsidR="0088745C" w:rsidRPr="0088745C" w:rsidSect="00226144">
      <w:pgSz w:w="15840" w:h="12240" w:orient="landscape"/>
      <w:pgMar w:top="1134" w:right="851"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C"/>
    <w:rsid w:val="00072786"/>
    <w:rsid w:val="00074B0F"/>
    <w:rsid w:val="00226144"/>
    <w:rsid w:val="003378C3"/>
    <w:rsid w:val="004D70C0"/>
    <w:rsid w:val="005A36C1"/>
    <w:rsid w:val="006D2702"/>
    <w:rsid w:val="007C2F86"/>
    <w:rsid w:val="0088745C"/>
    <w:rsid w:val="00A15B90"/>
    <w:rsid w:val="00C23EC8"/>
    <w:rsid w:val="00C44C1B"/>
    <w:rsid w:val="00C46392"/>
    <w:rsid w:val="00CE1F9E"/>
    <w:rsid w:val="00DF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7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3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7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3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9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Hoang</dc:creator>
  <cp:lastModifiedBy>Nguyen Van Hoang</cp:lastModifiedBy>
  <cp:revision>8</cp:revision>
  <cp:lastPrinted>2025-09-05T06:44:00Z</cp:lastPrinted>
  <dcterms:created xsi:type="dcterms:W3CDTF">2025-09-05T02:23:00Z</dcterms:created>
  <dcterms:modified xsi:type="dcterms:W3CDTF">2025-09-05T07:59:00Z</dcterms:modified>
</cp:coreProperties>
</file>