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7" w:type="pct"/>
        <w:tblCellMar>
          <w:left w:w="0" w:type="dxa"/>
          <w:right w:w="0" w:type="dxa"/>
        </w:tblCellMar>
        <w:tblLook w:val="0000" w:firstRow="0" w:lastRow="0" w:firstColumn="0" w:lastColumn="0" w:noHBand="0" w:noVBand="0"/>
      </w:tblPr>
      <w:tblGrid>
        <w:gridCol w:w="3382"/>
        <w:gridCol w:w="6326"/>
      </w:tblGrid>
      <w:tr w:rsidR="005351C4" w:rsidRPr="00A5426E" w14:paraId="21213465" w14:textId="77777777" w:rsidTr="0054503C">
        <w:trPr>
          <w:trHeight w:val="1132"/>
        </w:trPr>
        <w:tc>
          <w:tcPr>
            <w:tcW w:w="1742" w:type="pct"/>
            <w:shd w:val="clear" w:color="000000" w:fill="FFFFFF"/>
          </w:tcPr>
          <w:p w14:paraId="5E2D9B4B" w14:textId="77777777" w:rsidR="00A5426E" w:rsidRPr="006C1D2F" w:rsidRDefault="00A5426E" w:rsidP="007C313A">
            <w:pPr>
              <w:autoSpaceDE w:val="0"/>
              <w:autoSpaceDN w:val="0"/>
              <w:adjustRightInd w:val="0"/>
              <w:spacing w:before="120" w:line="276" w:lineRule="auto"/>
              <w:jc w:val="center"/>
              <w:rPr>
                <w:rFonts w:ascii="Times New Roman" w:hAnsi="Times New Roman" w:cs="Times New Roman"/>
                <w:sz w:val="26"/>
                <w:szCs w:val="26"/>
                <w:lang w:val="en-US"/>
              </w:rPr>
            </w:pPr>
            <w:r w:rsidRPr="006C1D2F">
              <w:rPr>
                <w:rFonts w:ascii="Times New Roman" w:hAnsi="Times New Roman" w:cs="Times New Roman"/>
                <w:sz w:val="26"/>
                <w:szCs w:val="26"/>
                <w:lang w:val="en-US"/>
              </w:rPr>
              <w:t>UBND TỈNH ĐẮK LẮK</w:t>
            </w:r>
          </w:p>
          <w:p w14:paraId="16AB7E97" w14:textId="77777777" w:rsidR="005351C4" w:rsidRPr="006C1D2F" w:rsidRDefault="00A5426E" w:rsidP="00A5426E">
            <w:pPr>
              <w:autoSpaceDE w:val="0"/>
              <w:autoSpaceDN w:val="0"/>
              <w:adjustRightInd w:val="0"/>
              <w:spacing w:line="276" w:lineRule="auto"/>
              <w:jc w:val="center"/>
              <w:rPr>
                <w:rFonts w:ascii="Times New Roman" w:hAnsi="Times New Roman" w:cs="Times New Roman"/>
                <w:sz w:val="26"/>
                <w:szCs w:val="26"/>
                <w:lang w:val="en"/>
              </w:rPr>
            </w:pPr>
            <w:r w:rsidRPr="006C1D2F">
              <w:rPr>
                <w:rFonts w:ascii="Times New Roman" w:hAnsi="Times New Roman" w:cs="Times New Roman"/>
                <w:b/>
                <w:bCs/>
                <w:sz w:val="26"/>
                <w:szCs w:val="26"/>
                <w:lang w:val="en-US"/>
              </w:rPr>
              <w:t>SỞ CÔNG THƯƠNG</w:t>
            </w:r>
            <w:r w:rsidR="005351C4" w:rsidRPr="006C1D2F">
              <w:rPr>
                <w:rFonts w:ascii="Times New Roman" w:hAnsi="Times New Roman" w:cs="Times New Roman"/>
                <w:b/>
                <w:bCs/>
                <w:sz w:val="26"/>
                <w:szCs w:val="26"/>
              </w:rPr>
              <w:br/>
            </w:r>
            <w:r w:rsidR="005351C4" w:rsidRPr="006C1D2F">
              <w:rPr>
                <w:rFonts w:ascii="Times New Roman" w:hAnsi="Times New Roman" w:cs="Times New Roman"/>
                <w:b/>
                <w:sz w:val="26"/>
                <w:szCs w:val="26"/>
                <w:lang w:val="en-US"/>
              </w:rPr>
              <w:t>-------</w:t>
            </w:r>
          </w:p>
        </w:tc>
        <w:tc>
          <w:tcPr>
            <w:tcW w:w="3258" w:type="pct"/>
            <w:shd w:val="clear" w:color="000000" w:fill="FFFFFF"/>
          </w:tcPr>
          <w:p w14:paraId="4C242160" w14:textId="77777777" w:rsidR="005351C4" w:rsidRPr="006C1D2F" w:rsidRDefault="005351C4" w:rsidP="007C313A">
            <w:pPr>
              <w:autoSpaceDE w:val="0"/>
              <w:autoSpaceDN w:val="0"/>
              <w:adjustRightInd w:val="0"/>
              <w:spacing w:before="120" w:line="276" w:lineRule="auto"/>
              <w:jc w:val="center"/>
              <w:rPr>
                <w:rFonts w:ascii="Times New Roman" w:hAnsi="Times New Roman" w:cs="Times New Roman"/>
                <w:sz w:val="26"/>
                <w:szCs w:val="26"/>
                <w:lang w:val="en"/>
              </w:rPr>
            </w:pPr>
            <w:r w:rsidRPr="006C1D2F">
              <w:rPr>
                <w:rFonts w:ascii="Times New Roman" w:hAnsi="Times New Roman" w:cs="Times New Roman"/>
                <w:b/>
                <w:bCs/>
                <w:sz w:val="26"/>
                <w:szCs w:val="26"/>
                <w:lang w:val="en"/>
              </w:rPr>
              <w:t>C</w:t>
            </w:r>
            <w:r w:rsidRPr="006C1D2F">
              <w:rPr>
                <w:rFonts w:ascii="Times New Roman" w:hAnsi="Times New Roman" w:cs="Times New Roman"/>
                <w:b/>
                <w:bCs/>
                <w:sz w:val="26"/>
                <w:szCs w:val="26"/>
              </w:rPr>
              <w:t>ỘNG H</w:t>
            </w:r>
            <w:r w:rsidRPr="006C1D2F">
              <w:rPr>
                <w:rFonts w:ascii="Times New Roman" w:hAnsi="Times New Roman" w:cs="Times New Roman"/>
                <w:b/>
                <w:bCs/>
                <w:sz w:val="26"/>
                <w:szCs w:val="26"/>
                <w:lang w:val="en-US"/>
              </w:rPr>
              <w:t>ÒA XÃ H</w:t>
            </w:r>
            <w:r w:rsidRPr="006C1D2F">
              <w:rPr>
                <w:rFonts w:ascii="Times New Roman" w:hAnsi="Times New Roman" w:cs="Times New Roman"/>
                <w:b/>
                <w:bCs/>
                <w:sz w:val="26"/>
                <w:szCs w:val="26"/>
              </w:rPr>
              <w:t>ỘI CHỦ NGHĨA VIỆT NAM</w:t>
            </w:r>
            <w:r w:rsidRPr="006C1D2F">
              <w:rPr>
                <w:rFonts w:ascii="Times New Roman" w:hAnsi="Times New Roman" w:cs="Times New Roman"/>
                <w:b/>
                <w:bCs/>
                <w:sz w:val="26"/>
                <w:szCs w:val="26"/>
              </w:rPr>
              <w:br/>
              <w:t>Độc lập - Tự do - Hạnh ph</w:t>
            </w:r>
            <w:r w:rsidRPr="006C1D2F">
              <w:rPr>
                <w:rFonts w:ascii="Times New Roman" w:hAnsi="Times New Roman" w:cs="Times New Roman"/>
                <w:b/>
                <w:bCs/>
                <w:sz w:val="26"/>
                <w:szCs w:val="26"/>
                <w:lang w:val="en-US"/>
              </w:rPr>
              <w:t xml:space="preserve">úc </w:t>
            </w:r>
            <w:r w:rsidRPr="006C1D2F">
              <w:rPr>
                <w:rFonts w:ascii="Times New Roman" w:hAnsi="Times New Roman" w:cs="Times New Roman"/>
                <w:b/>
                <w:bCs/>
                <w:sz w:val="26"/>
                <w:szCs w:val="26"/>
                <w:lang w:val="en-US"/>
              </w:rPr>
              <w:br/>
            </w:r>
            <w:r w:rsidRPr="006C1D2F">
              <w:rPr>
                <w:rFonts w:ascii="Times New Roman" w:hAnsi="Times New Roman" w:cs="Times New Roman"/>
                <w:b/>
                <w:sz w:val="26"/>
                <w:szCs w:val="26"/>
                <w:lang w:val="en-US"/>
              </w:rPr>
              <w:t>---------------</w:t>
            </w:r>
          </w:p>
        </w:tc>
      </w:tr>
      <w:tr w:rsidR="005351C4" w:rsidRPr="00A5426E" w14:paraId="2C9515C8" w14:textId="77777777" w:rsidTr="00A5426E">
        <w:tc>
          <w:tcPr>
            <w:tcW w:w="1742" w:type="pct"/>
            <w:shd w:val="clear" w:color="000000" w:fill="FFFFFF"/>
          </w:tcPr>
          <w:p w14:paraId="11E3DC56" w14:textId="77777777" w:rsidR="005351C4" w:rsidRPr="006C1D2F" w:rsidRDefault="005351C4" w:rsidP="007C313A">
            <w:pPr>
              <w:autoSpaceDE w:val="0"/>
              <w:autoSpaceDN w:val="0"/>
              <w:adjustRightInd w:val="0"/>
              <w:spacing w:before="120" w:line="276" w:lineRule="auto"/>
              <w:jc w:val="center"/>
              <w:rPr>
                <w:rFonts w:ascii="Times New Roman" w:hAnsi="Times New Roman" w:cs="Times New Roman"/>
                <w:b/>
                <w:bCs/>
                <w:sz w:val="26"/>
                <w:szCs w:val="26"/>
                <w:lang w:val="en"/>
              </w:rPr>
            </w:pPr>
          </w:p>
        </w:tc>
        <w:tc>
          <w:tcPr>
            <w:tcW w:w="3258" w:type="pct"/>
            <w:shd w:val="clear" w:color="000000" w:fill="FFFFFF"/>
          </w:tcPr>
          <w:p w14:paraId="6D889A51" w14:textId="77777777" w:rsidR="005351C4" w:rsidRPr="006C1D2F" w:rsidRDefault="00A5426E" w:rsidP="0054503C">
            <w:pPr>
              <w:autoSpaceDE w:val="0"/>
              <w:autoSpaceDN w:val="0"/>
              <w:adjustRightInd w:val="0"/>
              <w:spacing w:before="120"/>
              <w:jc w:val="center"/>
              <w:rPr>
                <w:rFonts w:ascii="Times New Roman" w:hAnsi="Times New Roman" w:cs="Times New Roman"/>
                <w:b/>
                <w:bCs/>
                <w:sz w:val="26"/>
                <w:szCs w:val="26"/>
                <w:lang w:val="en"/>
              </w:rPr>
            </w:pPr>
            <w:r w:rsidRPr="006C1D2F">
              <w:rPr>
                <w:rFonts w:ascii="Times New Roman" w:hAnsi="Times New Roman" w:cs="Times New Roman"/>
                <w:i/>
                <w:iCs/>
                <w:sz w:val="26"/>
                <w:szCs w:val="26"/>
                <w:lang w:val="en"/>
              </w:rPr>
              <w:t>Đắk Lắk,</w:t>
            </w:r>
            <w:r w:rsidR="005351C4" w:rsidRPr="006C1D2F">
              <w:rPr>
                <w:rFonts w:ascii="Times New Roman" w:hAnsi="Times New Roman" w:cs="Times New Roman"/>
                <w:i/>
                <w:iCs/>
                <w:sz w:val="26"/>
                <w:szCs w:val="26"/>
                <w:lang w:val="en"/>
              </w:rPr>
              <w:t xml:space="preserve"> ngày</w:t>
            </w:r>
            <w:r w:rsidRPr="006C1D2F">
              <w:rPr>
                <w:rFonts w:ascii="Times New Roman" w:hAnsi="Times New Roman" w:cs="Times New Roman"/>
                <w:i/>
                <w:iCs/>
                <w:sz w:val="26"/>
                <w:szCs w:val="26"/>
                <w:lang w:val="en"/>
              </w:rPr>
              <w:t xml:space="preserve">          </w:t>
            </w:r>
            <w:r w:rsidR="005351C4" w:rsidRPr="006C1D2F">
              <w:rPr>
                <w:rFonts w:ascii="Times New Roman" w:hAnsi="Times New Roman" w:cs="Times New Roman"/>
                <w:i/>
                <w:iCs/>
                <w:sz w:val="26"/>
                <w:szCs w:val="26"/>
                <w:lang w:val="en"/>
              </w:rPr>
              <w:t>tháng</w:t>
            </w:r>
            <w:r w:rsidRPr="006C1D2F">
              <w:rPr>
                <w:rFonts w:ascii="Times New Roman" w:hAnsi="Times New Roman" w:cs="Times New Roman"/>
                <w:i/>
                <w:iCs/>
                <w:sz w:val="26"/>
                <w:szCs w:val="26"/>
                <w:lang w:val="en"/>
              </w:rPr>
              <w:t xml:space="preserve"> 3 </w:t>
            </w:r>
            <w:r w:rsidR="005351C4" w:rsidRPr="006C1D2F">
              <w:rPr>
                <w:rFonts w:ascii="Times New Roman" w:hAnsi="Times New Roman" w:cs="Times New Roman"/>
                <w:i/>
                <w:iCs/>
                <w:sz w:val="26"/>
                <w:szCs w:val="26"/>
                <w:lang w:val="en"/>
              </w:rPr>
              <w:t>năm</w:t>
            </w:r>
            <w:r w:rsidRPr="006C1D2F">
              <w:rPr>
                <w:rFonts w:ascii="Times New Roman" w:hAnsi="Times New Roman" w:cs="Times New Roman"/>
                <w:i/>
                <w:iCs/>
                <w:sz w:val="26"/>
                <w:szCs w:val="26"/>
                <w:lang w:val="en"/>
              </w:rPr>
              <w:t xml:space="preserve"> 2026</w:t>
            </w:r>
          </w:p>
        </w:tc>
      </w:tr>
    </w:tbl>
    <w:p w14:paraId="0C8918F0" w14:textId="77777777" w:rsidR="00B702B5" w:rsidRPr="006C1D2F" w:rsidRDefault="005351C4" w:rsidP="00C822D1">
      <w:pPr>
        <w:autoSpaceDE w:val="0"/>
        <w:autoSpaceDN w:val="0"/>
        <w:adjustRightInd w:val="0"/>
        <w:spacing w:before="120"/>
        <w:jc w:val="center"/>
        <w:rPr>
          <w:rFonts w:ascii="Times New Roman" w:hAnsi="Times New Roman" w:cs="Times New Roman"/>
          <w:b/>
          <w:bCs/>
          <w:sz w:val="28"/>
          <w:szCs w:val="28"/>
        </w:rPr>
      </w:pPr>
      <w:r w:rsidRPr="006C1D2F">
        <w:rPr>
          <w:rFonts w:ascii="Times New Roman" w:hAnsi="Times New Roman" w:cs="Times New Roman"/>
          <w:b/>
          <w:bCs/>
          <w:sz w:val="28"/>
          <w:szCs w:val="28"/>
          <w:lang w:val="en"/>
        </w:rPr>
        <w:t>B</w:t>
      </w:r>
      <w:r w:rsidRPr="006C1D2F">
        <w:rPr>
          <w:rFonts w:ascii="Times New Roman" w:hAnsi="Times New Roman" w:cs="Times New Roman"/>
          <w:b/>
          <w:bCs/>
          <w:sz w:val="28"/>
          <w:szCs w:val="28"/>
        </w:rPr>
        <w:t>ẢN SO S</w:t>
      </w:r>
      <w:r w:rsidRPr="006C1D2F">
        <w:rPr>
          <w:rFonts w:ascii="Times New Roman" w:hAnsi="Times New Roman" w:cs="Times New Roman"/>
          <w:b/>
          <w:bCs/>
          <w:sz w:val="28"/>
          <w:szCs w:val="28"/>
          <w:lang w:val="en-US"/>
        </w:rPr>
        <w:t>ÁNH, THUY</w:t>
      </w:r>
      <w:r w:rsidRPr="006C1D2F">
        <w:rPr>
          <w:rFonts w:ascii="Times New Roman" w:hAnsi="Times New Roman" w:cs="Times New Roman"/>
          <w:b/>
          <w:bCs/>
          <w:sz w:val="28"/>
          <w:szCs w:val="28"/>
        </w:rPr>
        <w:t xml:space="preserve">ẾT MINH </w:t>
      </w:r>
    </w:p>
    <w:p w14:paraId="78548A20" w14:textId="77777777" w:rsidR="00D240EF" w:rsidRDefault="005351C4" w:rsidP="00D240EF">
      <w:pPr>
        <w:autoSpaceDE w:val="0"/>
        <w:autoSpaceDN w:val="0"/>
        <w:adjustRightInd w:val="0"/>
        <w:jc w:val="center"/>
        <w:rPr>
          <w:rFonts w:ascii="Times New Roman" w:hAnsi="Times New Roman" w:cs="Times New Roman"/>
          <w:b/>
          <w:bCs/>
          <w:sz w:val="28"/>
          <w:szCs w:val="28"/>
          <w:lang w:val="en-US"/>
        </w:rPr>
      </w:pPr>
      <w:r w:rsidRPr="006C1D2F">
        <w:rPr>
          <w:rFonts w:ascii="Times New Roman" w:hAnsi="Times New Roman" w:cs="Times New Roman"/>
          <w:b/>
          <w:bCs/>
          <w:sz w:val="28"/>
          <w:szCs w:val="28"/>
        </w:rPr>
        <w:t xml:space="preserve">DỰ THẢO </w:t>
      </w:r>
      <w:r w:rsidR="00B702B5" w:rsidRPr="006C1D2F">
        <w:rPr>
          <w:rFonts w:ascii="Times New Roman" w:hAnsi="Times New Roman" w:cs="Times New Roman"/>
          <w:b/>
          <w:bCs/>
          <w:sz w:val="28"/>
          <w:szCs w:val="28"/>
          <w:lang w:val="en-US"/>
        </w:rPr>
        <w:t xml:space="preserve">QUY ĐỊNH VỀ XÂY </w:t>
      </w:r>
      <w:r w:rsidR="00C42E67" w:rsidRPr="006C1D2F">
        <w:rPr>
          <w:rFonts w:ascii="Times New Roman" w:hAnsi="Times New Roman" w:cs="Times New Roman"/>
          <w:b/>
          <w:bCs/>
          <w:sz w:val="28"/>
          <w:szCs w:val="28"/>
          <w:lang w:val="en-US"/>
        </w:rPr>
        <w:t>DỰNG</w:t>
      </w:r>
      <w:r w:rsidR="00B702B5" w:rsidRPr="006C1D2F">
        <w:rPr>
          <w:rFonts w:ascii="Times New Roman" w:hAnsi="Times New Roman" w:cs="Times New Roman"/>
          <w:b/>
          <w:bCs/>
          <w:sz w:val="28"/>
          <w:szCs w:val="28"/>
          <w:lang w:val="en-US"/>
        </w:rPr>
        <w:t xml:space="preserve"> KẾ HOẠCH</w:t>
      </w:r>
      <w:r w:rsidR="00C42E67" w:rsidRPr="006C1D2F">
        <w:rPr>
          <w:rFonts w:ascii="Times New Roman" w:hAnsi="Times New Roman" w:cs="Times New Roman"/>
          <w:b/>
          <w:bCs/>
          <w:sz w:val="28"/>
          <w:szCs w:val="28"/>
          <w:lang w:val="en-US"/>
        </w:rPr>
        <w:t xml:space="preserve">, TỔ CHỨC </w:t>
      </w:r>
    </w:p>
    <w:p w14:paraId="2EECBD15" w14:textId="4634F2D4" w:rsidR="00822B0C" w:rsidRPr="006C1D2F" w:rsidRDefault="00C42E67" w:rsidP="00D240EF">
      <w:pPr>
        <w:autoSpaceDE w:val="0"/>
        <w:autoSpaceDN w:val="0"/>
        <w:adjustRightInd w:val="0"/>
        <w:jc w:val="center"/>
        <w:rPr>
          <w:rFonts w:ascii="Times New Roman" w:hAnsi="Times New Roman" w:cs="Times New Roman"/>
          <w:b/>
          <w:bCs/>
          <w:sz w:val="28"/>
          <w:szCs w:val="28"/>
          <w:lang w:val="en-US"/>
        </w:rPr>
      </w:pPr>
      <w:r w:rsidRPr="006C1D2F">
        <w:rPr>
          <w:rFonts w:ascii="Times New Roman" w:hAnsi="Times New Roman" w:cs="Times New Roman"/>
          <w:b/>
          <w:bCs/>
          <w:sz w:val="28"/>
          <w:szCs w:val="28"/>
          <w:lang w:val="en-US"/>
        </w:rPr>
        <w:t xml:space="preserve">THỰC HIỆN VÀ QUẢN LÝ, SỬ DỤNG </w:t>
      </w:r>
    </w:p>
    <w:p w14:paraId="4B1E943D" w14:textId="77777777" w:rsidR="00822B0C" w:rsidRPr="006C1D2F" w:rsidRDefault="00C42E67" w:rsidP="00822B0C">
      <w:pPr>
        <w:autoSpaceDE w:val="0"/>
        <w:autoSpaceDN w:val="0"/>
        <w:adjustRightInd w:val="0"/>
        <w:jc w:val="center"/>
        <w:rPr>
          <w:rFonts w:ascii="Times New Roman" w:hAnsi="Times New Roman" w:cs="Times New Roman"/>
          <w:b/>
          <w:bCs/>
          <w:sz w:val="28"/>
          <w:szCs w:val="28"/>
          <w:lang w:val="en-US"/>
        </w:rPr>
      </w:pPr>
      <w:r w:rsidRPr="006C1D2F">
        <w:rPr>
          <w:rFonts w:ascii="Times New Roman" w:hAnsi="Times New Roman" w:cs="Times New Roman"/>
          <w:b/>
          <w:bCs/>
          <w:sz w:val="28"/>
          <w:szCs w:val="28"/>
          <w:lang w:val="en-US"/>
        </w:rPr>
        <w:t xml:space="preserve">KINH PHÍ KHUYẾN CÔNG TRÊN ĐỊA BÀN TỈNH </w:t>
      </w:r>
    </w:p>
    <w:p w14:paraId="6F29CF2F" w14:textId="6A0367EE" w:rsidR="005351C4" w:rsidRDefault="00B702B5" w:rsidP="00822B0C">
      <w:pPr>
        <w:autoSpaceDE w:val="0"/>
        <w:autoSpaceDN w:val="0"/>
        <w:adjustRightInd w:val="0"/>
        <w:jc w:val="center"/>
        <w:rPr>
          <w:rFonts w:ascii="Times New Roman" w:hAnsi="Times New Roman" w:cs="Times New Roman"/>
          <w:b/>
          <w:bCs/>
          <w:sz w:val="28"/>
          <w:szCs w:val="28"/>
          <w:lang w:val="en-US"/>
        </w:rPr>
      </w:pPr>
      <w:r w:rsidRPr="006C1D2F">
        <w:rPr>
          <w:rFonts w:ascii="Times New Roman" w:hAnsi="Times New Roman" w:cs="Times New Roman"/>
          <w:b/>
          <w:bCs/>
          <w:sz w:val="28"/>
          <w:szCs w:val="28"/>
          <w:lang w:val="en-US"/>
        </w:rPr>
        <w:t>BÃI BỎ QUYẾT ĐỊNH 22/2019/QĐ-UBND TỈNH</w:t>
      </w:r>
    </w:p>
    <w:p w14:paraId="1FB6FC31" w14:textId="6385BC02" w:rsidR="00E031F8" w:rsidRPr="00E031F8" w:rsidRDefault="00E031F8" w:rsidP="00E031F8">
      <w:pPr>
        <w:autoSpaceDE w:val="0"/>
        <w:autoSpaceDN w:val="0"/>
        <w:adjustRightInd w:val="0"/>
        <w:spacing w:before="120"/>
        <w:jc w:val="center"/>
        <w:rPr>
          <w:rFonts w:ascii="Times New Roman" w:hAnsi="Times New Roman" w:cs="Times New Roman"/>
          <w:sz w:val="28"/>
          <w:szCs w:val="28"/>
          <w:lang w:val="en-US"/>
        </w:rPr>
      </w:pPr>
      <w:r w:rsidRPr="00E031F8">
        <w:rPr>
          <w:rFonts w:ascii="Times New Roman" w:hAnsi="Times New Roman" w:cs="Times New Roman"/>
          <w:sz w:val="28"/>
          <w:szCs w:val="28"/>
          <w:lang w:val="en-US"/>
        </w:rPr>
        <w:t>(Kèm theo Tờ trình số       /TTr-SCT ngày   /3/2026 của Sở Công Thương)</w:t>
      </w:r>
    </w:p>
    <w:p w14:paraId="31FE34E9" w14:textId="77777777" w:rsidR="00AB720E" w:rsidRPr="00E031F8" w:rsidRDefault="00AB720E" w:rsidP="00E031F8">
      <w:pPr>
        <w:autoSpaceDE w:val="0"/>
        <w:autoSpaceDN w:val="0"/>
        <w:adjustRightInd w:val="0"/>
        <w:spacing w:before="120"/>
        <w:rPr>
          <w:rFonts w:ascii="Times New Roman" w:hAnsi="Times New Roman" w:cs="Times New Roman"/>
          <w:sz w:val="28"/>
          <w:szCs w:val="28"/>
          <w:lang w:val="en"/>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835"/>
        <w:gridCol w:w="5199"/>
      </w:tblGrid>
      <w:tr w:rsidR="00EA6BBB" w:rsidRPr="006C1D2F" w14:paraId="1A633D55" w14:textId="77777777" w:rsidTr="00A42674">
        <w:trPr>
          <w:jc w:val="center"/>
        </w:trPr>
        <w:tc>
          <w:tcPr>
            <w:tcW w:w="2263" w:type="dxa"/>
            <w:shd w:val="clear" w:color="auto" w:fill="FFFFFF"/>
            <w:tcMar>
              <w:top w:w="120" w:type="dxa"/>
              <w:left w:w="120" w:type="dxa"/>
              <w:bottom w:w="120" w:type="dxa"/>
              <w:right w:w="120" w:type="dxa"/>
            </w:tcMar>
            <w:vAlign w:val="center"/>
          </w:tcPr>
          <w:p w14:paraId="0040ABC9" w14:textId="77777777" w:rsidR="0071243D" w:rsidRPr="006C1D2F" w:rsidRDefault="009A4E8D">
            <w:pPr>
              <w:spacing w:line="276" w:lineRule="auto"/>
              <w:jc w:val="center"/>
              <w:rPr>
                <w:rFonts w:ascii="Times New Roman" w:hAnsi="Times New Roman" w:cs="Times New Roman"/>
                <w:sz w:val="28"/>
                <w:szCs w:val="28"/>
              </w:rPr>
            </w:pPr>
            <w:r w:rsidRPr="006C1D2F">
              <w:rPr>
                <w:rFonts w:ascii="Times New Roman" w:hAnsi="Times New Roman" w:cs="Times New Roman"/>
                <w:b/>
                <w:sz w:val="28"/>
                <w:szCs w:val="28"/>
              </w:rPr>
              <w:t>QUYẾT ĐỊNH 22/2019/QĐ-UBND</w:t>
            </w:r>
          </w:p>
        </w:tc>
        <w:tc>
          <w:tcPr>
            <w:tcW w:w="2835" w:type="dxa"/>
            <w:shd w:val="clear" w:color="auto" w:fill="FFFFFF"/>
            <w:tcMar>
              <w:top w:w="120" w:type="dxa"/>
              <w:left w:w="120" w:type="dxa"/>
              <w:bottom w:w="120" w:type="dxa"/>
              <w:right w:w="120" w:type="dxa"/>
            </w:tcMar>
            <w:vAlign w:val="center"/>
          </w:tcPr>
          <w:p w14:paraId="4C0AE907" w14:textId="0F3D5521" w:rsidR="0071243D" w:rsidRPr="006C1D2F" w:rsidRDefault="009A4E8D">
            <w:pPr>
              <w:spacing w:line="276" w:lineRule="auto"/>
              <w:jc w:val="center"/>
              <w:rPr>
                <w:rFonts w:ascii="Times New Roman" w:hAnsi="Times New Roman" w:cs="Times New Roman"/>
                <w:sz w:val="28"/>
                <w:szCs w:val="28"/>
                <w:lang w:val="en-US"/>
              </w:rPr>
            </w:pPr>
            <w:r w:rsidRPr="006C1D2F">
              <w:rPr>
                <w:rFonts w:ascii="Times New Roman" w:hAnsi="Times New Roman" w:cs="Times New Roman"/>
                <w:b/>
                <w:sz w:val="28"/>
                <w:szCs w:val="28"/>
              </w:rPr>
              <w:t xml:space="preserve">DỰ THẢO QUY ĐỊNH </w:t>
            </w:r>
            <w:r w:rsidR="006C1D2F" w:rsidRPr="006C1D2F">
              <w:rPr>
                <w:rFonts w:ascii="Times New Roman" w:hAnsi="Times New Roman" w:cs="Times New Roman"/>
                <w:b/>
                <w:sz w:val="28"/>
                <w:szCs w:val="28"/>
                <w:lang w:val="en-US"/>
              </w:rPr>
              <w:t xml:space="preserve">BÃI BỎ QUYẾT ĐỊNH </w:t>
            </w:r>
            <w:r w:rsidR="00AD173B">
              <w:rPr>
                <w:rFonts w:ascii="Times New Roman" w:hAnsi="Times New Roman" w:cs="Times New Roman"/>
                <w:b/>
                <w:sz w:val="28"/>
                <w:szCs w:val="28"/>
                <w:lang w:val="en-US"/>
              </w:rPr>
              <w:t xml:space="preserve">SỐ </w:t>
            </w:r>
            <w:r w:rsidR="006C1D2F" w:rsidRPr="006C1D2F">
              <w:rPr>
                <w:rFonts w:ascii="Times New Roman" w:hAnsi="Times New Roman" w:cs="Times New Roman"/>
                <w:b/>
                <w:sz w:val="28"/>
                <w:szCs w:val="28"/>
                <w:lang w:val="en-US"/>
              </w:rPr>
              <w:t>22/2019/QĐ-UBND</w:t>
            </w:r>
          </w:p>
        </w:tc>
        <w:tc>
          <w:tcPr>
            <w:tcW w:w="5199" w:type="dxa"/>
            <w:shd w:val="clear" w:color="auto" w:fill="FFFFFF"/>
            <w:tcMar>
              <w:top w:w="120" w:type="dxa"/>
              <w:left w:w="120" w:type="dxa"/>
              <w:bottom w:w="120" w:type="dxa"/>
              <w:right w:w="120" w:type="dxa"/>
            </w:tcMar>
            <w:vAlign w:val="center"/>
          </w:tcPr>
          <w:p w14:paraId="599A956C" w14:textId="77777777" w:rsidR="0071243D" w:rsidRPr="006C1D2F" w:rsidRDefault="009A4E8D">
            <w:pPr>
              <w:spacing w:line="276" w:lineRule="auto"/>
              <w:jc w:val="center"/>
              <w:rPr>
                <w:rFonts w:ascii="Times New Roman" w:hAnsi="Times New Roman" w:cs="Times New Roman"/>
                <w:sz w:val="28"/>
                <w:szCs w:val="28"/>
              </w:rPr>
            </w:pPr>
            <w:r w:rsidRPr="006C1D2F">
              <w:rPr>
                <w:rFonts w:ascii="Times New Roman" w:hAnsi="Times New Roman" w:cs="Times New Roman"/>
                <w:b/>
                <w:sz w:val="28"/>
                <w:szCs w:val="28"/>
              </w:rPr>
              <w:t>THUYẾT MINH</w:t>
            </w:r>
          </w:p>
        </w:tc>
      </w:tr>
      <w:tr w:rsidR="0071243D" w:rsidRPr="006C1D2F" w14:paraId="4C9542C8" w14:textId="77777777" w:rsidTr="00A42674">
        <w:trPr>
          <w:jc w:val="center"/>
        </w:trPr>
        <w:tc>
          <w:tcPr>
            <w:tcW w:w="2263" w:type="dxa"/>
            <w:tcMar>
              <w:top w:w="110" w:type="dxa"/>
              <w:left w:w="110" w:type="dxa"/>
              <w:bottom w:w="110" w:type="dxa"/>
              <w:right w:w="110" w:type="dxa"/>
            </w:tcMar>
            <w:vAlign w:val="center"/>
          </w:tcPr>
          <w:p w14:paraId="6C34AB5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 Phạm vi điều chỉnh</w:t>
            </w:r>
          </w:p>
        </w:tc>
        <w:tc>
          <w:tcPr>
            <w:tcW w:w="2835" w:type="dxa"/>
            <w:tcMar>
              <w:top w:w="110" w:type="dxa"/>
              <w:left w:w="110" w:type="dxa"/>
              <w:bottom w:w="110" w:type="dxa"/>
              <w:right w:w="110" w:type="dxa"/>
            </w:tcMar>
            <w:vAlign w:val="center"/>
          </w:tcPr>
          <w:p w14:paraId="3B9DEAB1"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 Phạm vi điều chỉnh</w:t>
            </w:r>
          </w:p>
        </w:tc>
        <w:tc>
          <w:tcPr>
            <w:tcW w:w="5199" w:type="dxa"/>
            <w:tcMar>
              <w:top w:w="110" w:type="dxa"/>
              <w:left w:w="110" w:type="dxa"/>
              <w:bottom w:w="110" w:type="dxa"/>
              <w:right w:w="110" w:type="dxa"/>
            </w:tcMar>
            <w:vAlign w:val="center"/>
          </w:tcPr>
          <w:p w14:paraId="34416A3C" w14:textId="77777777" w:rsidR="0071243D" w:rsidRPr="006C1D2F" w:rsidRDefault="009A4E8D" w:rsidP="000F775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Kế thừa nội dung cốt lõi của Quyết định số 22/2019/QĐ-UBND, nhưng diễn đạt lại theo hướng bao quát đầy đủ 04 nhóm nội dung: xây dựng kế hoạch, tổ chức thực hiện và quản lý, sử dụng kinh phí khuyến công trên địa bàn tỉnh. Cách quy định này bám sát kết cấu, phạm vi điều chỉnh của Thông tư số 36/2013/TT-BCT và dự thảo mới. Không phát sinh thủ tục hành chính.</w:t>
            </w:r>
          </w:p>
        </w:tc>
      </w:tr>
      <w:tr w:rsidR="0071243D" w:rsidRPr="006C1D2F" w14:paraId="25927A3B" w14:textId="77777777" w:rsidTr="00A42674">
        <w:trPr>
          <w:jc w:val="center"/>
        </w:trPr>
        <w:tc>
          <w:tcPr>
            <w:tcW w:w="2263" w:type="dxa"/>
            <w:tcMar>
              <w:top w:w="110" w:type="dxa"/>
              <w:left w:w="110" w:type="dxa"/>
              <w:bottom w:w="110" w:type="dxa"/>
              <w:right w:w="110" w:type="dxa"/>
            </w:tcMar>
            <w:vAlign w:val="center"/>
          </w:tcPr>
          <w:p w14:paraId="152FDB5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2. Đối tượng áp dụng</w:t>
            </w:r>
          </w:p>
        </w:tc>
        <w:tc>
          <w:tcPr>
            <w:tcW w:w="2835" w:type="dxa"/>
            <w:tcMar>
              <w:top w:w="110" w:type="dxa"/>
              <w:left w:w="110" w:type="dxa"/>
              <w:bottom w:w="110" w:type="dxa"/>
              <w:right w:w="110" w:type="dxa"/>
            </w:tcMar>
            <w:vAlign w:val="center"/>
          </w:tcPr>
          <w:p w14:paraId="67FE1C33"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2. Đối tượng áp dụng</w:t>
            </w:r>
          </w:p>
        </w:tc>
        <w:tc>
          <w:tcPr>
            <w:tcW w:w="5199" w:type="dxa"/>
            <w:tcMar>
              <w:top w:w="110" w:type="dxa"/>
              <w:left w:w="110" w:type="dxa"/>
              <w:bottom w:w="110" w:type="dxa"/>
              <w:right w:w="110" w:type="dxa"/>
            </w:tcMar>
            <w:vAlign w:val="center"/>
          </w:tcPr>
          <w:p w14:paraId="1A8CC5F1" w14:textId="77777777" w:rsidR="0071243D" w:rsidRPr="006C1D2F" w:rsidRDefault="009A4E8D" w:rsidP="000F775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Được sửa đổi, cập nhật theo khoản 1 Điều 1 Nghị định số 235/2025/NĐ-CP sửa đổi Nghị định số 45/2012/NĐ-CP. So với Quyết định số 22/2019/QĐ-UBND, dự thảo bổ sung đối tượng “sản xuất và tiêu dùng bền vững”, “doanh nghiệp, hợp tác xã là chủ đầu tư xây dựng hạ tầng kỹ thuật cụm công nghiệp”, “nghệ nhân nhân dân, nghệ nhân ưu tú”; đồng thời cập nhật địa bàn áp dụng theo mô hình xã, phường. Nội dung này thể hiện việc lồng ghép yêu cầu đổi mới sáng tạo, chuyển đổi số, phát triển bền vững theo pháp luật hiện hành.</w:t>
            </w:r>
          </w:p>
        </w:tc>
      </w:tr>
      <w:tr w:rsidR="0071243D" w:rsidRPr="006C1D2F" w14:paraId="7B96E398" w14:textId="77777777" w:rsidTr="00A42674">
        <w:trPr>
          <w:jc w:val="center"/>
        </w:trPr>
        <w:tc>
          <w:tcPr>
            <w:tcW w:w="2263" w:type="dxa"/>
            <w:tcMar>
              <w:top w:w="110" w:type="dxa"/>
              <w:left w:w="110" w:type="dxa"/>
              <w:bottom w:w="110" w:type="dxa"/>
              <w:right w:w="110" w:type="dxa"/>
            </w:tcMar>
            <w:vAlign w:val="center"/>
          </w:tcPr>
          <w:p w14:paraId="7F67EE70"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3. Nguồn kinh phí bảo đảm hoạt động khuyến công</w:t>
            </w:r>
          </w:p>
        </w:tc>
        <w:tc>
          <w:tcPr>
            <w:tcW w:w="2835" w:type="dxa"/>
            <w:tcMar>
              <w:top w:w="110" w:type="dxa"/>
              <w:left w:w="110" w:type="dxa"/>
              <w:bottom w:w="110" w:type="dxa"/>
              <w:right w:w="110" w:type="dxa"/>
            </w:tcMar>
            <w:vAlign w:val="center"/>
          </w:tcPr>
          <w:p w14:paraId="51334A0E"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13. Nguồn kinh phí khuyến công</w:t>
            </w:r>
          </w:p>
        </w:tc>
        <w:tc>
          <w:tcPr>
            <w:tcW w:w="5199" w:type="dxa"/>
            <w:tcMar>
              <w:top w:w="110" w:type="dxa"/>
              <w:left w:w="110" w:type="dxa"/>
              <w:bottom w:w="110" w:type="dxa"/>
              <w:right w:w="110" w:type="dxa"/>
            </w:tcMar>
            <w:vAlign w:val="center"/>
          </w:tcPr>
          <w:p w14:paraId="37ACCF3B" w14:textId="77777777" w:rsidR="0071243D" w:rsidRPr="006C1D2F" w:rsidRDefault="009A4E8D" w:rsidP="000F775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Nội dung được kế thừa nhưng quy định lại rõ hơn theo hướng liệt kê cụ thể 03 nguồn: ngân sách nhà nước, kinh phí đóng góp của tổ chức, cá nhân tham gia đề án và nguồn vốn hợp pháp khác. Dự thảo đồng thời làm rõ kinh phí khuyến công được bố trí ở cấp tỉnh và cấp xã/phường, phù hợp pháp luật về ngân sách nhà nước và tổ chức chính quyền địa phương hiện hành.</w:t>
            </w:r>
          </w:p>
        </w:tc>
      </w:tr>
      <w:tr w:rsidR="0071243D" w:rsidRPr="006C1D2F" w14:paraId="2ABBAD6B" w14:textId="77777777" w:rsidTr="00A42674">
        <w:trPr>
          <w:jc w:val="center"/>
        </w:trPr>
        <w:tc>
          <w:tcPr>
            <w:tcW w:w="2263" w:type="dxa"/>
            <w:tcMar>
              <w:top w:w="110" w:type="dxa"/>
              <w:left w:w="110" w:type="dxa"/>
              <w:bottom w:w="110" w:type="dxa"/>
              <w:right w:w="110" w:type="dxa"/>
            </w:tcMar>
            <w:vAlign w:val="center"/>
          </w:tcPr>
          <w:p w14:paraId="66A64443"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4. Nguyên tắc sử dụng kinh phí khuyến công</w:t>
            </w:r>
          </w:p>
        </w:tc>
        <w:tc>
          <w:tcPr>
            <w:tcW w:w="2835" w:type="dxa"/>
            <w:tcMar>
              <w:top w:w="110" w:type="dxa"/>
              <w:left w:w="110" w:type="dxa"/>
              <w:bottom w:w="110" w:type="dxa"/>
              <w:right w:w="110" w:type="dxa"/>
            </w:tcMar>
            <w:vAlign w:val="center"/>
          </w:tcPr>
          <w:p w14:paraId="1395BCE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12. Nguyên tắc sử dụng kinh phí khuyến công</w:t>
            </w:r>
          </w:p>
        </w:tc>
        <w:tc>
          <w:tcPr>
            <w:tcW w:w="5199" w:type="dxa"/>
            <w:tcMar>
              <w:top w:w="110" w:type="dxa"/>
              <w:left w:w="110" w:type="dxa"/>
              <w:bottom w:w="110" w:type="dxa"/>
              <w:right w:w="110" w:type="dxa"/>
            </w:tcMar>
            <w:vAlign w:val="center"/>
          </w:tcPr>
          <w:p w14:paraId="727C6F03" w14:textId="77777777" w:rsidR="0071243D" w:rsidRPr="006C1D2F" w:rsidRDefault="009A4E8D" w:rsidP="000F775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Cơ bản kế thừa Điều 4 của Quyết định số 22/2019/QĐ-UBND, nhưng cập nhật lại chủ thể quản lý từ “UBND các cấp” theo hướng phù hợp tổ chức khuyến công ở cấp tỉnh và cấp xã/phường. Việc quy định lại bảo đảm thống nhất với Nghị định số 45/2012/NĐ-CP, Nghị định số 235/2025/NĐ-CP và thực tiễn mô hình chính quyền địa phương 02 cấp.</w:t>
            </w:r>
          </w:p>
        </w:tc>
      </w:tr>
      <w:tr w:rsidR="0071243D" w:rsidRPr="006C1D2F" w14:paraId="029A76A3" w14:textId="77777777" w:rsidTr="00A42674">
        <w:trPr>
          <w:jc w:val="center"/>
        </w:trPr>
        <w:tc>
          <w:tcPr>
            <w:tcW w:w="2263" w:type="dxa"/>
            <w:tcMar>
              <w:top w:w="110" w:type="dxa"/>
              <w:left w:w="110" w:type="dxa"/>
              <w:bottom w:w="110" w:type="dxa"/>
              <w:right w:w="110" w:type="dxa"/>
            </w:tcMar>
            <w:vAlign w:val="center"/>
          </w:tcPr>
          <w:p w14:paraId="7CF8A7ED"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5. Mức chi chung của hoạt động khuyến công;</w:t>
            </w:r>
          </w:p>
          <w:p w14:paraId="6A4F28EE"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6. Nội dung và mức chi cụ thể</w:t>
            </w:r>
          </w:p>
        </w:tc>
        <w:tc>
          <w:tcPr>
            <w:tcW w:w="2835" w:type="dxa"/>
            <w:tcMar>
              <w:top w:w="110" w:type="dxa"/>
              <w:left w:w="110" w:type="dxa"/>
              <w:bottom w:w="110" w:type="dxa"/>
              <w:right w:w="110" w:type="dxa"/>
            </w:tcMar>
            <w:vAlign w:val="center"/>
          </w:tcPr>
          <w:p w14:paraId="235A82CD" w14:textId="5866B827" w:rsidR="0071243D" w:rsidRPr="006C1D2F" w:rsidRDefault="0071243D" w:rsidP="00A42674">
            <w:pPr>
              <w:spacing w:after="40" w:line="276" w:lineRule="auto"/>
              <w:jc w:val="both"/>
              <w:rPr>
                <w:rFonts w:ascii="Times New Roman" w:hAnsi="Times New Roman" w:cs="Times New Roman"/>
                <w:sz w:val="28"/>
                <w:szCs w:val="28"/>
              </w:rPr>
            </w:pPr>
          </w:p>
        </w:tc>
        <w:tc>
          <w:tcPr>
            <w:tcW w:w="5199" w:type="dxa"/>
            <w:tcMar>
              <w:top w:w="110" w:type="dxa"/>
              <w:left w:w="110" w:type="dxa"/>
              <w:bottom w:w="110" w:type="dxa"/>
              <w:right w:w="110" w:type="dxa"/>
            </w:tcMar>
            <w:vAlign w:val="center"/>
          </w:tcPr>
          <w:p w14:paraId="6258C56B" w14:textId="046DA57D" w:rsidR="0071243D" w:rsidRPr="006C1D2F" w:rsidRDefault="009A4E8D" w:rsidP="000F775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Dự thảo không tiếp tục quy định lại chi tiết toàn bộ nội dung chi và mức chi như Quyết định số 22/2019/QĐ-UBND.</w:t>
            </w:r>
            <w:r w:rsidR="00EA692E">
              <w:rPr>
                <w:rFonts w:ascii="Times New Roman" w:hAnsi="Times New Roman" w:cs="Times New Roman"/>
                <w:sz w:val="28"/>
                <w:szCs w:val="28"/>
                <w:lang w:val="en-US"/>
              </w:rPr>
              <w:t xml:space="preserve"> N</w:t>
            </w:r>
            <w:r w:rsidRPr="006C1D2F">
              <w:rPr>
                <w:rFonts w:ascii="Times New Roman" w:hAnsi="Times New Roman" w:cs="Times New Roman"/>
                <w:sz w:val="28"/>
                <w:szCs w:val="28"/>
              </w:rPr>
              <w:t xml:space="preserve">ội dung chi, mức chi thực hiện theo Thông tư số 28/2018/TT-BTC, </w:t>
            </w:r>
            <w:r w:rsidR="000F7750" w:rsidRPr="006C1D2F">
              <w:rPr>
                <w:rFonts w:ascii="Times New Roman" w:hAnsi="Times New Roman" w:cs="Times New Roman"/>
                <w:sz w:val="28"/>
                <w:szCs w:val="28"/>
                <w:lang w:val="en-US"/>
              </w:rPr>
              <w:t>Nghị quyết 03/2025/NQ-HĐND</w:t>
            </w:r>
            <w:r w:rsidRPr="006C1D2F">
              <w:rPr>
                <w:rFonts w:ascii="Times New Roman" w:hAnsi="Times New Roman" w:cs="Times New Roman"/>
                <w:sz w:val="28"/>
                <w:szCs w:val="28"/>
              </w:rPr>
              <w:t xml:space="preserve"> và quy định tài chính hiện hành. Cách thiết kế này tránh trùng lặp, bảo đảm thống nhất với văn bản cấp trên và thuận lợi khi chính sách tài chính thay đổi.</w:t>
            </w:r>
          </w:p>
        </w:tc>
      </w:tr>
      <w:tr w:rsidR="0071243D" w:rsidRPr="006C1D2F" w14:paraId="00C41EC6" w14:textId="77777777" w:rsidTr="00A42674">
        <w:trPr>
          <w:jc w:val="center"/>
        </w:trPr>
        <w:tc>
          <w:tcPr>
            <w:tcW w:w="2263" w:type="dxa"/>
            <w:tcMar>
              <w:top w:w="110" w:type="dxa"/>
              <w:left w:w="110" w:type="dxa"/>
              <w:bottom w:w="110" w:type="dxa"/>
              <w:right w:w="110" w:type="dxa"/>
            </w:tcMar>
            <w:vAlign w:val="center"/>
          </w:tcPr>
          <w:p w14:paraId="7AC5F9BE"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7. Lập, chấp hành và quyết toán;</w:t>
            </w:r>
          </w:p>
          <w:p w14:paraId="180AE683"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8. Lập và phân bổ dự toán, chấp hành dự toán, công tác hạch toán, quyết toán</w:t>
            </w:r>
          </w:p>
        </w:tc>
        <w:tc>
          <w:tcPr>
            <w:tcW w:w="2835" w:type="dxa"/>
            <w:tcMar>
              <w:top w:w="110" w:type="dxa"/>
              <w:left w:w="110" w:type="dxa"/>
              <w:bottom w:w="110" w:type="dxa"/>
              <w:right w:w="110" w:type="dxa"/>
            </w:tcMar>
            <w:vAlign w:val="center"/>
          </w:tcPr>
          <w:p w14:paraId="7539FD23"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14. Quản lý kinh phí khuyến công địa phương các cấp;</w:t>
            </w:r>
          </w:p>
          <w:p w14:paraId="4CB127D7"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15. Lập và phân bổ dự toán;</w:t>
            </w:r>
          </w:p>
          <w:p w14:paraId="4352545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19. Công tác hạch toán, quyết toán</w:t>
            </w:r>
          </w:p>
        </w:tc>
        <w:tc>
          <w:tcPr>
            <w:tcW w:w="5199" w:type="dxa"/>
            <w:tcMar>
              <w:top w:w="110" w:type="dxa"/>
              <w:left w:w="110" w:type="dxa"/>
              <w:bottom w:w="110" w:type="dxa"/>
              <w:right w:w="110" w:type="dxa"/>
            </w:tcMar>
            <w:vAlign w:val="center"/>
          </w:tcPr>
          <w:p w14:paraId="4879B93C" w14:textId="77777777" w:rsidR="0071243D" w:rsidRPr="006C1D2F" w:rsidRDefault="009A4E8D" w:rsidP="00EE70E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Các nội dung về chu trình ngân sách được tách, sắp xếp lại mạch lạc hơn theo từng nhóm việc: quản lý kinh phí, lập và phân bổ dự toán, hạch toán - quyết toán. Dự thảo dẫn chiếu trực tiếp Thông tư số 28/2018/TT-BTC để bảo đảm áp dụng thống nhất quy định của Bộ Tài chính; đồng thời bổ sung cơ chế lập, bố trí dự toán cho cấp xã/phường cho phù hợp thực tiễn địa phương.</w:t>
            </w:r>
          </w:p>
        </w:tc>
      </w:tr>
      <w:tr w:rsidR="0071243D" w:rsidRPr="006C1D2F" w14:paraId="15215807" w14:textId="77777777" w:rsidTr="00A42674">
        <w:trPr>
          <w:jc w:val="center"/>
        </w:trPr>
        <w:tc>
          <w:tcPr>
            <w:tcW w:w="2263" w:type="dxa"/>
            <w:tcMar>
              <w:top w:w="110" w:type="dxa"/>
              <w:left w:w="110" w:type="dxa"/>
              <w:bottom w:w="110" w:type="dxa"/>
              <w:right w:w="110" w:type="dxa"/>
            </w:tcMar>
            <w:vAlign w:val="center"/>
          </w:tcPr>
          <w:p w14:paraId="7EDD3B9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9. Nguyên tắc xây dựng đề án khuyến công</w:t>
            </w:r>
          </w:p>
        </w:tc>
        <w:tc>
          <w:tcPr>
            <w:tcW w:w="2835" w:type="dxa"/>
            <w:tcMar>
              <w:top w:w="110" w:type="dxa"/>
              <w:left w:w="110" w:type="dxa"/>
              <w:bottom w:w="110" w:type="dxa"/>
              <w:right w:w="110" w:type="dxa"/>
            </w:tcMar>
            <w:vAlign w:val="center"/>
          </w:tcPr>
          <w:p w14:paraId="0843E96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4. Nguyên tắc lập đề án khuyến công địa phương</w:t>
            </w:r>
          </w:p>
        </w:tc>
        <w:tc>
          <w:tcPr>
            <w:tcW w:w="5199" w:type="dxa"/>
            <w:tcMar>
              <w:top w:w="110" w:type="dxa"/>
              <w:left w:w="110" w:type="dxa"/>
              <w:bottom w:w="110" w:type="dxa"/>
              <w:right w:w="110" w:type="dxa"/>
            </w:tcMar>
            <w:vAlign w:val="center"/>
          </w:tcPr>
          <w:p w14:paraId="305DAF78" w14:textId="77777777" w:rsidR="0071243D" w:rsidRPr="006C1D2F" w:rsidRDefault="009A4E8D" w:rsidP="00EE70E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Cơ bản kế thừa nội dung cũ nhưng được cập nhật đầy đủ căn cứ pháp lý mới. Dự thảo bổ sung viện dẫn Nghị định số 235/2025/NĐ-CP và Thông tư số 64/2024/TT-BTC (sửa đổi, bổ sung Thông tư số 28/2018/TT-BTC), qua đó mở rộng phạm vi tiếp cận sang sản xuất và tiêu dùng bền vững, chuyển đổi số và các nội dung mới của chính sách khuyến công.</w:t>
            </w:r>
          </w:p>
        </w:tc>
      </w:tr>
      <w:tr w:rsidR="0071243D" w:rsidRPr="006C1D2F" w14:paraId="5366FC82" w14:textId="77777777" w:rsidTr="00A42674">
        <w:trPr>
          <w:jc w:val="center"/>
        </w:trPr>
        <w:tc>
          <w:tcPr>
            <w:tcW w:w="2263" w:type="dxa"/>
            <w:tcMar>
              <w:top w:w="110" w:type="dxa"/>
              <w:left w:w="110" w:type="dxa"/>
              <w:bottom w:w="110" w:type="dxa"/>
              <w:right w:w="110" w:type="dxa"/>
            </w:tcMar>
            <w:vAlign w:val="center"/>
          </w:tcPr>
          <w:p w14:paraId="3B3AB85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10. Nội dung cơ bản của đề án khuyến công</w:t>
            </w:r>
          </w:p>
        </w:tc>
        <w:tc>
          <w:tcPr>
            <w:tcW w:w="2835" w:type="dxa"/>
            <w:tcMar>
              <w:top w:w="110" w:type="dxa"/>
              <w:left w:w="110" w:type="dxa"/>
              <w:bottom w:w="110" w:type="dxa"/>
              <w:right w:w="110" w:type="dxa"/>
            </w:tcMar>
            <w:vAlign w:val="center"/>
          </w:tcPr>
          <w:p w14:paraId="56BDE8F8"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5. Nội dung cơ bản của đề án khuyến công địa phương</w:t>
            </w:r>
          </w:p>
        </w:tc>
        <w:tc>
          <w:tcPr>
            <w:tcW w:w="5199" w:type="dxa"/>
            <w:tcMar>
              <w:top w:w="110" w:type="dxa"/>
              <w:left w:w="110" w:type="dxa"/>
              <w:bottom w:w="110" w:type="dxa"/>
              <w:right w:w="110" w:type="dxa"/>
            </w:tcMar>
            <w:vAlign w:val="center"/>
          </w:tcPr>
          <w:p w14:paraId="4E9F615D" w14:textId="77777777" w:rsidR="0071243D" w:rsidRPr="006C1D2F" w:rsidRDefault="009A4E8D" w:rsidP="00B137B8">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Dự thảo không lặp lại toàn bộ nội dung đã được quy định chi tiết tại Điều 5 Thông tư số 36/2013/TT-BCT mà dẫn chiếu áp dụng trực tiếp. Cách quy định này giúp hồ sơ đề án thống nhất với biểu mẫu, yêu cầu chuyên môn của Bộ Công Thương và hạn chế phải sửa đổi văn bản địa phương khi quy định cấp trên thay đổi.</w:t>
            </w:r>
          </w:p>
        </w:tc>
      </w:tr>
      <w:tr w:rsidR="0071243D" w:rsidRPr="006C1D2F" w14:paraId="0F735906" w14:textId="77777777" w:rsidTr="00A42674">
        <w:trPr>
          <w:jc w:val="center"/>
        </w:trPr>
        <w:tc>
          <w:tcPr>
            <w:tcW w:w="2263" w:type="dxa"/>
            <w:tcMar>
              <w:top w:w="110" w:type="dxa"/>
              <w:left w:w="110" w:type="dxa"/>
              <w:bottom w:w="110" w:type="dxa"/>
              <w:right w:w="110" w:type="dxa"/>
            </w:tcMar>
            <w:vAlign w:val="center"/>
          </w:tcPr>
          <w:p w14:paraId="30F1EB4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11. Trình tự xây dựng chương trình, kế hoạch và triển khai thực hiện đề án khuyến công</w:t>
            </w:r>
          </w:p>
        </w:tc>
        <w:tc>
          <w:tcPr>
            <w:tcW w:w="2835" w:type="dxa"/>
            <w:tcMar>
              <w:top w:w="110" w:type="dxa"/>
              <w:left w:w="110" w:type="dxa"/>
              <w:bottom w:w="110" w:type="dxa"/>
              <w:right w:w="110" w:type="dxa"/>
            </w:tcMar>
            <w:vAlign w:val="center"/>
          </w:tcPr>
          <w:p w14:paraId="4BDB094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6. Trình tự xây dựng, thẩm định và phê duyệt kế hoạch khuyến công địa phương các cấp;</w:t>
            </w:r>
          </w:p>
          <w:p w14:paraId="2CFF115A"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9. Hồ sơ và thời gian đăng ký kế hoạch khuyến công;</w:t>
            </w:r>
          </w:p>
          <w:p w14:paraId="5049848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10. Hồ sơ trình thẩm định</w:t>
            </w:r>
          </w:p>
        </w:tc>
        <w:tc>
          <w:tcPr>
            <w:tcW w:w="5199" w:type="dxa"/>
            <w:tcMar>
              <w:top w:w="110" w:type="dxa"/>
              <w:left w:w="110" w:type="dxa"/>
              <w:bottom w:w="110" w:type="dxa"/>
              <w:right w:w="110" w:type="dxa"/>
            </w:tcMar>
            <w:vAlign w:val="center"/>
          </w:tcPr>
          <w:p w14:paraId="2F6D4EC3" w14:textId="4E94A712" w:rsidR="0071243D" w:rsidRPr="006C1D2F" w:rsidRDefault="009A4E8D" w:rsidP="00B137B8">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So với Quyết định số 22/2019/QĐ-UBND, dự thảo tách nội dung thành 03 điều để quy định rõ từng khâu: xây dựng kế hoạch, đăng ký hồ sơ và trình thẩm định. Nội dung được thiết kế lại theo Thông tư số 36/2013/TT-BCT và Thông tư số 17/2018/TT-BCT, đồng thời cập nhật đầu mối thực hiện là UBND xã/phường</w:t>
            </w:r>
            <w:r w:rsidR="00B137B8" w:rsidRPr="006C1D2F">
              <w:rPr>
                <w:rFonts w:ascii="Times New Roman" w:hAnsi="Times New Roman" w:cs="Times New Roman"/>
                <w:sz w:val="28"/>
                <w:szCs w:val="28"/>
                <w:lang w:val="en-US"/>
              </w:rPr>
              <w:t xml:space="preserve">, </w:t>
            </w:r>
            <w:r w:rsidRPr="006C1D2F">
              <w:rPr>
                <w:rFonts w:ascii="Times New Roman" w:hAnsi="Times New Roman" w:cs="Times New Roman"/>
                <w:sz w:val="28"/>
                <w:szCs w:val="28"/>
              </w:rPr>
              <w:t>Trung tâm Khuyến công và Xúc tiến thương mại. Việc quy định rõ thời hạn, thành phần hồ sơ giúp thuận lợi trong tổ chức thực hiện nhưng không làm phát sinh thủ tục hành chính mới.</w:t>
            </w:r>
          </w:p>
        </w:tc>
      </w:tr>
      <w:tr w:rsidR="0071243D" w:rsidRPr="006C1D2F" w14:paraId="24DB06A5" w14:textId="77777777" w:rsidTr="00A42674">
        <w:trPr>
          <w:jc w:val="center"/>
        </w:trPr>
        <w:tc>
          <w:tcPr>
            <w:tcW w:w="2263" w:type="dxa"/>
            <w:tcMar>
              <w:top w:w="110" w:type="dxa"/>
              <w:left w:w="110" w:type="dxa"/>
              <w:bottom w:w="110" w:type="dxa"/>
              <w:right w:w="110" w:type="dxa"/>
            </w:tcMar>
            <w:vAlign w:val="center"/>
          </w:tcPr>
          <w:p w14:paraId="572AE7E9"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12. Phương thức xét chọn các đề án khuyến công khi xây dựng kế hoạch khuyến công</w:t>
            </w:r>
          </w:p>
        </w:tc>
        <w:tc>
          <w:tcPr>
            <w:tcW w:w="2835" w:type="dxa"/>
            <w:tcMar>
              <w:top w:w="110" w:type="dxa"/>
              <w:left w:w="110" w:type="dxa"/>
              <w:bottom w:w="110" w:type="dxa"/>
              <w:right w:w="110" w:type="dxa"/>
            </w:tcMar>
            <w:vAlign w:val="center"/>
          </w:tcPr>
          <w:p w14:paraId="240FC058"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3. Quy định các đề án, nhiệm vụ khuyến công địa phương thực hiện đấu thầu hoặc xét chọn;</w:t>
            </w:r>
          </w:p>
          <w:p w14:paraId="0B52BCA0"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 xml:space="preserve">Điều 7. Phương thức xét chọn các đề án khuyến công khi xây </w:t>
            </w:r>
            <w:r w:rsidRPr="006C1D2F">
              <w:rPr>
                <w:rFonts w:ascii="Times New Roman" w:hAnsi="Times New Roman" w:cs="Times New Roman"/>
                <w:sz w:val="28"/>
                <w:szCs w:val="28"/>
              </w:rPr>
              <w:lastRenderedPageBreak/>
              <w:t>dựng kế hoạch khuyến công</w:t>
            </w:r>
          </w:p>
        </w:tc>
        <w:tc>
          <w:tcPr>
            <w:tcW w:w="5199" w:type="dxa"/>
            <w:tcMar>
              <w:top w:w="110" w:type="dxa"/>
              <w:left w:w="110" w:type="dxa"/>
              <w:bottom w:w="110" w:type="dxa"/>
              <w:right w:w="110" w:type="dxa"/>
            </w:tcMar>
            <w:vAlign w:val="center"/>
          </w:tcPr>
          <w:p w14:paraId="001AF2A3" w14:textId="77777777" w:rsidR="0071243D" w:rsidRPr="006C1D2F" w:rsidRDefault="009A4E8D" w:rsidP="00B137B8">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 xml:space="preserve">Dự thảo tách riêng nội dung về hình thức “đấu thầu hoặc xét chọn” để dẫn chiếu trực tiếp Khoản 2 Điều 1 Thông tư số 17/2018/TT-BCT; đồng thời cụ thể hóa tiêu chí chung và tiêu chí ưu tiên lựa chọn đề án tại Điều 7. Việc sửa đổi này giúp bám sát quy định chuyên ngành hiện hành, đồng thời tiếp nhận các ưu tiên mới của Nghị định số </w:t>
            </w:r>
            <w:r w:rsidRPr="006C1D2F">
              <w:rPr>
                <w:rFonts w:ascii="Times New Roman" w:hAnsi="Times New Roman" w:cs="Times New Roman"/>
                <w:sz w:val="28"/>
                <w:szCs w:val="28"/>
              </w:rPr>
              <w:lastRenderedPageBreak/>
              <w:t>235/2025/NĐ-CP về ngành nghề, địa bàn ưu tiên; nội dung bình đẳng giới, dân tộc được thực hiện theo quy định của văn bản cấp trên khi áp dụng xét chọn.</w:t>
            </w:r>
          </w:p>
        </w:tc>
      </w:tr>
      <w:tr w:rsidR="0071243D" w:rsidRPr="006C1D2F" w14:paraId="42B01D00" w14:textId="77777777" w:rsidTr="00A42674">
        <w:trPr>
          <w:jc w:val="center"/>
        </w:trPr>
        <w:tc>
          <w:tcPr>
            <w:tcW w:w="2263" w:type="dxa"/>
            <w:tcMar>
              <w:top w:w="110" w:type="dxa"/>
              <w:left w:w="110" w:type="dxa"/>
              <w:bottom w:w="110" w:type="dxa"/>
              <w:right w:w="110" w:type="dxa"/>
            </w:tcMar>
            <w:vAlign w:val="center"/>
          </w:tcPr>
          <w:p w14:paraId="019AC0F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13. Nội dung thẩm định đề án</w:t>
            </w:r>
          </w:p>
        </w:tc>
        <w:tc>
          <w:tcPr>
            <w:tcW w:w="2835" w:type="dxa"/>
            <w:tcMar>
              <w:top w:w="110" w:type="dxa"/>
              <w:left w:w="110" w:type="dxa"/>
              <w:bottom w:w="110" w:type="dxa"/>
              <w:right w:w="110" w:type="dxa"/>
            </w:tcMar>
            <w:vAlign w:val="center"/>
          </w:tcPr>
          <w:p w14:paraId="28E95723"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8. Nội dung thẩm định;</w:t>
            </w:r>
          </w:p>
          <w:p w14:paraId="1AC0B548"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10. Hồ sơ trình thẩm định</w:t>
            </w:r>
          </w:p>
        </w:tc>
        <w:tc>
          <w:tcPr>
            <w:tcW w:w="5199" w:type="dxa"/>
            <w:tcMar>
              <w:top w:w="110" w:type="dxa"/>
              <w:left w:w="110" w:type="dxa"/>
              <w:bottom w:w="110" w:type="dxa"/>
              <w:right w:w="110" w:type="dxa"/>
            </w:tcMar>
            <w:vAlign w:val="center"/>
          </w:tcPr>
          <w:p w14:paraId="6DF748C8" w14:textId="652DA997" w:rsidR="0071243D" w:rsidRPr="006C1D2F" w:rsidRDefault="009A4E8D" w:rsidP="00B137B8">
            <w:pPr>
              <w:spacing w:after="40" w:line="276" w:lineRule="auto"/>
              <w:jc w:val="both"/>
              <w:rPr>
                <w:rFonts w:ascii="Times New Roman" w:hAnsi="Times New Roman" w:cs="Times New Roman"/>
                <w:sz w:val="28"/>
                <w:szCs w:val="28"/>
                <w:lang w:val="en-US"/>
              </w:rPr>
            </w:pPr>
            <w:r w:rsidRPr="006C1D2F">
              <w:rPr>
                <w:rFonts w:ascii="Times New Roman" w:hAnsi="Times New Roman" w:cs="Times New Roman"/>
                <w:sz w:val="28"/>
                <w:szCs w:val="28"/>
              </w:rPr>
              <w:t>Dự thảo tiếp tục kế thừa 05 nhóm nội dung thẩm định nhưng dẫn chiếu Khoản 2, 3, 4, 5 Điều 9 Thông tư số 36/2013/TT-BCT và quy định rõ hơn về hồ sơ trình thẩm định. Cách quy định này bảo đảm thống nhất với biểu mẫu thẩm định (Mẫu số 4a, 4b) theo Thông tư số 17/2018/TT-BCT</w:t>
            </w:r>
            <w:r w:rsidR="00B137B8" w:rsidRPr="006C1D2F">
              <w:rPr>
                <w:rFonts w:ascii="Times New Roman" w:hAnsi="Times New Roman" w:cs="Times New Roman"/>
                <w:sz w:val="28"/>
                <w:szCs w:val="28"/>
                <w:lang w:val="en-US"/>
              </w:rPr>
              <w:t xml:space="preserve"> và tuân thủ việc không quy định lại các nội dung mà văn bản pháp luật đã quy định chi tiết.</w:t>
            </w:r>
          </w:p>
        </w:tc>
      </w:tr>
      <w:tr w:rsidR="0071243D" w:rsidRPr="006C1D2F" w14:paraId="05227AE9" w14:textId="77777777" w:rsidTr="00A42674">
        <w:trPr>
          <w:jc w:val="center"/>
        </w:trPr>
        <w:tc>
          <w:tcPr>
            <w:tcW w:w="2263" w:type="dxa"/>
            <w:tcMar>
              <w:top w:w="110" w:type="dxa"/>
              <w:left w:w="110" w:type="dxa"/>
              <w:bottom w:w="110" w:type="dxa"/>
              <w:right w:w="110" w:type="dxa"/>
            </w:tcMar>
            <w:vAlign w:val="center"/>
          </w:tcPr>
          <w:p w14:paraId="7955604A"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14. Điều chỉnh, bổ sung và ngừng triển khai đề án</w:t>
            </w:r>
          </w:p>
        </w:tc>
        <w:tc>
          <w:tcPr>
            <w:tcW w:w="2835" w:type="dxa"/>
            <w:tcMar>
              <w:top w:w="110" w:type="dxa"/>
              <w:left w:w="110" w:type="dxa"/>
              <w:bottom w:w="110" w:type="dxa"/>
              <w:right w:w="110" w:type="dxa"/>
            </w:tcMar>
            <w:vAlign w:val="center"/>
          </w:tcPr>
          <w:p w14:paraId="5B5BE82C"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11. Điều chỉnh, bổ sung và ngừng triển khai thực hiện đề án khuyến công</w:t>
            </w:r>
          </w:p>
        </w:tc>
        <w:tc>
          <w:tcPr>
            <w:tcW w:w="5199" w:type="dxa"/>
            <w:tcMar>
              <w:top w:w="110" w:type="dxa"/>
              <w:left w:w="110" w:type="dxa"/>
              <w:bottom w:w="110" w:type="dxa"/>
              <w:right w:w="110" w:type="dxa"/>
            </w:tcMar>
            <w:vAlign w:val="center"/>
          </w:tcPr>
          <w:p w14:paraId="6FE6D266" w14:textId="77777777" w:rsidR="0071243D" w:rsidRPr="006C1D2F" w:rsidRDefault="009A4E8D" w:rsidP="008715CC">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Nội dung cơ bản được kế thừa, nhưng dự thảo quy định lại rõ hơn về chủ thể đề nghị, đầu mối tiếp nhận và quy trình rà soát, kiểm tra trước khi Giám đốc Sở Công Thương quyết định. Cách sửa đổi này phù hợp hơn với thực tiễn quản lý hiện nay và mô hình phối hợp giữa Sở Công Thương, Trung tâm Khuyến công và Xúc tiến thương mại với UBND xã/phường.</w:t>
            </w:r>
          </w:p>
        </w:tc>
      </w:tr>
      <w:tr w:rsidR="0071243D" w:rsidRPr="006C1D2F" w14:paraId="2C979D4F" w14:textId="77777777" w:rsidTr="00A42674">
        <w:trPr>
          <w:jc w:val="center"/>
        </w:trPr>
        <w:tc>
          <w:tcPr>
            <w:tcW w:w="2263" w:type="dxa"/>
            <w:tcMar>
              <w:top w:w="110" w:type="dxa"/>
              <w:left w:w="110" w:type="dxa"/>
              <w:bottom w:w="110" w:type="dxa"/>
              <w:right w:w="110" w:type="dxa"/>
            </w:tcMar>
            <w:vAlign w:val="center"/>
          </w:tcPr>
          <w:p w14:paraId="16D1E6D5"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15. Tạm ứng, nghiệm thu, thanh quyết toán kinh phí đề án</w:t>
            </w:r>
          </w:p>
        </w:tc>
        <w:tc>
          <w:tcPr>
            <w:tcW w:w="2835" w:type="dxa"/>
            <w:tcMar>
              <w:top w:w="110" w:type="dxa"/>
              <w:left w:w="110" w:type="dxa"/>
              <w:bottom w:w="110" w:type="dxa"/>
              <w:right w:w="110" w:type="dxa"/>
            </w:tcMar>
            <w:vAlign w:val="center"/>
          </w:tcPr>
          <w:p w14:paraId="0D9136F9"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16. Nguyên tắc tạm ứng, thanh lý hợp đồng và quyết toán kinh phí khuyến công; tỷ lệ tạm ứng; hồ sơ tạm ứng;</w:t>
            </w:r>
          </w:p>
          <w:p w14:paraId="16F6ADC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17. Chứng từ chi;</w:t>
            </w:r>
          </w:p>
          <w:p w14:paraId="10754B11"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18. Thanh lý hợp đồng và quyết toán kinh phí; hồ sơ quyết toán</w:t>
            </w:r>
          </w:p>
        </w:tc>
        <w:tc>
          <w:tcPr>
            <w:tcW w:w="5199" w:type="dxa"/>
            <w:tcMar>
              <w:top w:w="110" w:type="dxa"/>
              <w:left w:w="110" w:type="dxa"/>
              <w:bottom w:w="110" w:type="dxa"/>
              <w:right w:w="110" w:type="dxa"/>
            </w:tcMar>
            <w:vAlign w:val="center"/>
          </w:tcPr>
          <w:p w14:paraId="7ECD7F3F" w14:textId="77777777" w:rsidR="0071243D" w:rsidRPr="006C1D2F" w:rsidRDefault="009A4E8D" w:rsidP="005856D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Dự thảo tách nội dung cũ thành 03 điều để quy định rõ nguyên tắc tạm ứng, chứng từ chi và hồ sơ quyết toán. Đồng thời, dự thảo dẫn chiếu trực tiếp Thông tư số 36/2013/TT-BCT, Thông tư số 17/2018/TT-BCT và Thông tư số 28/2018/TT-BTC nhằm bảo đảm thống nhất về tỷ lệ tạm ứng, biểu mẫu, thành phần hồ sơ và chứng từ. So với quy định cũ, kỹ thuật lập quy chặt chẽ hơn, hạn chế nguy cơ mâu thuẫn với quy định tài chính hiện hành.</w:t>
            </w:r>
          </w:p>
        </w:tc>
      </w:tr>
      <w:tr w:rsidR="0071243D" w:rsidRPr="006C1D2F" w14:paraId="0A46E204" w14:textId="77777777" w:rsidTr="00A42674">
        <w:trPr>
          <w:jc w:val="center"/>
        </w:trPr>
        <w:tc>
          <w:tcPr>
            <w:tcW w:w="2263" w:type="dxa"/>
            <w:tcMar>
              <w:top w:w="110" w:type="dxa"/>
              <w:left w:w="110" w:type="dxa"/>
              <w:bottom w:w="110" w:type="dxa"/>
              <w:right w:w="110" w:type="dxa"/>
            </w:tcMar>
            <w:vAlign w:val="center"/>
          </w:tcPr>
          <w:p w14:paraId="4F7A9845"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 xml:space="preserve">Điều 16. Cơ quan quản lý nhà nước </w:t>
            </w:r>
            <w:r w:rsidRPr="006C1D2F">
              <w:rPr>
                <w:rFonts w:ascii="Times New Roman" w:hAnsi="Times New Roman" w:cs="Times New Roman"/>
                <w:sz w:val="28"/>
                <w:szCs w:val="28"/>
              </w:rPr>
              <w:lastRenderedPageBreak/>
              <w:t>về hoạt động khuyến công;</w:t>
            </w:r>
          </w:p>
          <w:p w14:paraId="2D306E3A"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17. Trách nhiệm quản lý nhà nước của các cơ quan đối với hoạt động khuyến công;</w:t>
            </w:r>
          </w:p>
          <w:p w14:paraId="360174C6"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18. Trách nhiệm của các đơn vị thực hiện đối với hoạt động khuyến công</w:t>
            </w:r>
          </w:p>
        </w:tc>
        <w:tc>
          <w:tcPr>
            <w:tcW w:w="2835" w:type="dxa"/>
            <w:tcMar>
              <w:top w:w="110" w:type="dxa"/>
              <w:left w:w="110" w:type="dxa"/>
              <w:bottom w:w="110" w:type="dxa"/>
              <w:right w:w="110" w:type="dxa"/>
            </w:tcMar>
            <w:vAlign w:val="center"/>
          </w:tcPr>
          <w:p w14:paraId="70E99144"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20. Chế độ báo cáo;</w:t>
            </w:r>
          </w:p>
          <w:p w14:paraId="4B76C687"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21. Trách nhiệm của cơ quan quản lý nhà nước và các đơn vị thực hiện đề án khuyến công</w:t>
            </w:r>
          </w:p>
        </w:tc>
        <w:tc>
          <w:tcPr>
            <w:tcW w:w="5199" w:type="dxa"/>
            <w:tcMar>
              <w:top w:w="110" w:type="dxa"/>
              <w:left w:w="110" w:type="dxa"/>
              <w:bottom w:w="110" w:type="dxa"/>
              <w:right w:w="110" w:type="dxa"/>
            </w:tcMar>
            <w:vAlign w:val="center"/>
          </w:tcPr>
          <w:p w14:paraId="26AB0761" w14:textId="77777777" w:rsidR="0071243D" w:rsidRPr="006C1D2F" w:rsidRDefault="009A4E8D" w:rsidP="005856D0">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 xml:space="preserve">Dự thảo sắp xếp lại nhóm quy định về trách nhiệm theo hướng gọn hơn, tập trung vào chế độ báo cáo và trách nhiệm của từng chủ thể. </w:t>
            </w:r>
            <w:r w:rsidRPr="006C1D2F">
              <w:rPr>
                <w:rFonts w:ascii="Times New Roman" w:hAnsi="Times New Roman" w:cs="Times New Roman"/>
                <w:sz w:val="28"/>
                <w:szCs w:val="28"/>
              </w:rPr>
              <w:lastRenderedPageBreak/>
              <w:t>So với Quyết định số 22/2019/QĐ-UBND, trách nhiệm của Sở Công Thương, Trung tâm Khuyến công và Xúc tiến thương mại, UBND xã/phường và đơn vị thụ hưởng được quy định rõ ràng hơn; đồng thời bỏ cách quy định theo mô hình cấp huyện cũ để phù hợp tổ chức chính quyền địa phương hiện nay.</w:t>
            </w:r>
          </w:p>
        </w:tc>
      </w:tr>
      <w:tr w:rsidR="0071243D" w:rsidRPr="006C1D2F" w14:paraId="0F5F46B2" w14:textId="77777777" w:rsidTr="00A42674">
        <w:trPr>
          <w:jc w:val="center"/>
        </w:trPr>
        <w:tc>
          <w:tcPr>
            <w:tcW w:w="2263" w:type="dxa"/>
            <w:tcMar>
              <w:top w:w="110" w:type="dxa"/>
              <w:left w:w="110" w:type="dxa"/>
              <w:bottom w:w="110" w:type="dxa"/>
              <w:right w:w="110" w:type="dxa"/>
            </w:tcMar>
            <w:vAlign w:val="center"/>
          </w:tcPr>
          <w:p w14:paraId="5C597BC2"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lastRenderedPageBreak/>
              <w:t>Điều 19. Điều khoản thi hành</w:t>
            </w:r>
          </w:p>
        </w:tc>
        <w:tc>
          <w:tcPr>
            <w:tcW w:w="2835" w:type="dxa"/>
            <w:tcMar>
              <w:top w:w="110" w:type="dxa"/>
              <w:left w:w="110" w:type="dxa"/>
              <w:bottom w:w="110" w:type="dxa"/>
              <w:right w:w="110" w:type="dxa"/>
            </w:tcMar>
            <w:vAlign w:val="center"/>
          </w:tcPr>
          <w:p w14:paraId="6FEDA62D" w14:textId="77777777" w:rsidR="0071243D" w:rsidRPr="006C1D2F" w:rsidRDefault="009A4E8D" w:rsidP="00A42674">
            <w:pPr>
              <w:spacing w:after="40" w:line="276" w:lineRule="auto"/>
              <w:jc w:val="both"/>
              <w:rPr>
                <w:rFonts w:ascii="Times New Roman" w:hAnsi="Times New Roman" w:cs="Times New Roman"/>
                <w:sz w:val="28"/>
                <w:szCs w:val="28"/>
              </w:rPr>
            </w:pPr>
            <w:r w:rsidRPr="006C1D2F">
              <w:rPr>
                <w:rFonts w:ascii="Times New Roman" w:hAnsi="Times New Roman" w:cs="Times New Roman"/>
                <w:sz w:val="28"/>
                <w:szCs w:val="28"/>
              </w:rPr>
              <w:t>Điều 22. Quy định về việc áp dụng lại các nội dung đã được văn bản quy phạm pháp luật khác quy định</w:t>
            </w:r>
          </w:p>
        </w:tc>
        <w:tc>
          <w:tcPr>
            <w:tcW w:w="5199" w:type="dxa"/>
            <w:tcMar>
              <w:top w:w="110" w:type="dxa"/>
              <w:left w:w="110" w:type="dxa"/>
              <w:bottom w:w="110" w:type="dxa"/>
              <w:right w:w="110" w:type="dxa"/>
            </w:tcMar>
            <w:vAlign w:val="center"/>
          </w:tcPr>
          <w:p w14:paraId="0B0D1159" w14:textId="77777777" w:rsidR="0071243D" w:rsidRPr="006C1D2F" w:rsidRDefault="009A4E8D" w:rsidP="00755946">
            <w:pPr>
              <w:jc w:val="both"/>
              <w:rPr>
                <w:rFonts w:ascii="Times New Roman" w:hAnsi="Times New Roman" w:cs="Times New Roman"/>
                <w:sz w:val="28"/>
                <w:szCs w:val="28"/>
              </w:rPr>
            </w:pPr>
            <w:r w:rsidRPr="006C1D2F">
              <w:rPr>
                <w:rFonts w:ascii="Times New Roman" w:hAnsi="Times New Roman" w:cs="Times New Roman"/>
                <w:sz w:val="28"/>
                <w:szCs w:val="28"/>
              </w:rPr>
              <w:t>Dự thảo thay điều khoản thi hành đơn giản trước đây bằng quy định kỹ thuật về “áp dụng lại” các nội dung của Thông tư số 36/2013/TT-BCT, Thông tư số 17/2018/TT-BCT và các phụ lục, mẫu biểu kèm theo sau khi chuyển đổi tên gọi cho phù hợp địa phương. Cách thiết kế này tránh sao chép lặp lại nhiều biểu mẫu và vẫn bảo đảm cơ sở áp dụng thống nhất.</w:t>
            </w:r>
          </w:p>
        </w:tc>
      </w:tr>
    </w:tbl>
    <w:p w14:paraId="5527D974" w14:textId="77777777" w:rsidR="005351C4" w:rsidRPr="006C1D2F" w:rsidRDefault="005351C4" w:rsidP="005351C4">
      <w:pPr>
        <w:autoSpaceDE w:val="0"/>
        <w:autoSpaceDN w:val="0"/>
        <w:adjustRightInd w:val="0"/>
        <w:spacing w:before="120"/>
        <w:rPr>
          <w:rFonts w:ascii="Times New Roman" w:hAnsi="Times New Roman" w:cs="Times New Roman"/>
          <w:b/>
          <w:bCs/>
          <w:sz w:val="28"/>
          <w:szCs w:val="28"/>
          <w:lang w:val="en"/>
        </w:rPr>
      </w:pPr>
    </w:p>
    <w:sectPr w:rsidR="005351C4" w:rsidRPr="006C1D2F" w:rsidSect="0054503C">
      <w:pgSz w:w="11906" w:h="16838"/>
      <w:pgMar w:top="1021" w:right="1247" w:bottom="1021" w:left="124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C4"/>
    <w:rsid w:val="000275AE"/>
    <w:rsid w:val="000F7750"/>
    <w:rsid w:val="002B42B7"/>
    <w:rsid w:val="0040410D"/>
    <w:rsid w:val="005351C4"/>
    <w:rsid w:val="0054503C"/>
    <w:rsid w:val="005856D0"/>
    <w:rsid w:val="00594485"/>
    <w:rsid w:val="00607AA5"/>
    <w:rsid w:val="00667C24"/>
    <w:rsid w:val="006C1D2F"/>
    <w:rsid w:val="0071243D"/>
    <w:rsid w:val="00755946"/>
    <w:rsid w:val="00822B0C"/>
    <w:rsid w:val="008715CC"/>
    <w:rsid w:val="008F2CDC"/>
    <w:rsid w:val="009A4E8D"/>
    <w:rsid w:val="00A04996"/>
    <w:rsid w:val="00A42674"/>
    <w:rsid w:val="00A5426E"/>
    <w:rsid w:val="00A9510A"/>
    <w:rsid w:val="00AB720E"/>
    <w:rsid w:val="00AD173B"/>
    <w:rsid w:val="00B137B8"/>
    <w:rsid w:val="00B702B5"/>
    <w:rsid w:val="00C42E67"/>
    <w:rsid w:val="00C822D1"/>
    <w:rsid w:val="00D240EF"/>
    <w:rsid w:val="00E031F8"/>
    <w:rsid w:val="00EA692E"/>
    <w:rsid w:val="00EA6BBB"/>
    <w:rsid w:val="00EE70E0"/>
    <w:rsid w:val="00EF2287"/>
    <w:rsid w:val="00EF3B24"/>
    <w:rsid w:val="00FA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70A2"/>
  <w15:chartTrackingRefBased/>
  <w15:docId w15:val="{3BF46007-9A06-4644-AD93-1A9ED44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C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autoRedefine/>
    <w:uiPriority w:val="9"/>
    <w:qFormat/>
    <w:rsid w:val="00A04996"/>
    <w:pPr>
      <w:keepNext/>
      <w:keepLines/>
      <w:spacing w:before="360" w:line="324" w:lineRule="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A04996"/>
    <w:pPr>
      <w:keepNext/>
      <w:keepLines/>
      <w:spacing w:before="240" w:line="324" w:lineRule="auto"/>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A04996"/>
    <w:pPr>
      <w:keepNext/>
      <w:keepLines/>
      <w:spacing w:before="120" w:line="324" w:lineRule="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unhideWhenUsed/>
    <w:qFormat/>
    <w:rsid w:val="00A04996"/>
    <w:pPr>
      <w:keepNext/>
      <w:keepLines/>
      <w:spacing w:before="120" w:line="324" w:lineRule="auto"/>
      <w:outlineLvl w:val="3"/>
    </w:pPr>
    <w:rPr>
      <w:rFonts w:ascii="Times New Roman" w:eastAsiaTheme="majorEastAsia" w:hAnsi="Times New Roman"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Char">
    <w:name w:val="Char"/>
    <w:basedOn w:val="Normal"/>
    <w:autoRedefine/>
    <w:rsid w:val="005351C4"/>
    <w:pPr>
      <w:spacing w:after="160" w:line="240" w:lineRule="exact"/>
    </w:pPr>
    <w:rPr>
      <w:rFonts w:ascii="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2026-03-17T13:35:00Z</dcterms:created>
  <dcterms:modified xsi:type="dcterms:W3CDTF">2026-03-17T14:38:00Z</dcterms:modified>
</cp:coreProperties>
</file>