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FB3FFA" w:rsidRPr="00EA6057" w14:paraId="7B0CB38D" w14:textId="77777777" w:rsidTr="00FB3FFA">
        <w:tc>
          <w:tcPr>
            <w:tcW w:w="6475" w:type="dxa"/>
          </w:tcPr>
          <w:p w14:paraId="6312F708" w14:textId="2F3C9AAB" w:rsidR="00FB3FFA" w:rsidRPr="00EA6057" w:rsidRDefault="00FB3FFA" w:rsidP="00FB3FFA">
            <w:pPr>
              <w:jc w:val="center"/>
              <w:rPr>
                <w:rFonts w:ascii="Times New Roman" w:hAnsi="Times New Roman" w:cs="Times New Roman"/>
                <w:sz w:val="28"/>
                <w:szCs w:val="28"/>
              </w:rPr>
            </w:pPr>
            <w:r w:rsidRPr="00EA6057">
              <w:rPr>
                <w:rFonts w:ascii="Times New Roman" w:hAnsi="Times New Roman" w:cs="Times New Roman"/>
                <w:sz w:val="28"/>
                <w:szCs w:val="28"/>
              </w:rPr>
              <w:t xml:space="preserve">UBND TỈNH </w:t>
            </w:r>
            <w:r w:rsidR="001824CF" w:rsidRPr="00EA6057">
              <w:rPr>
                <w:rFonts w:ascii="Times New Roman" w:hAnsi="Times New Roman" w:cs="Times New Roman"/>
                <w:sz w:val="28"/>
                <w:szCs w:val="28"/>
              </w:rPr>
              <w:t>ĐẮK LẮK</w:t>
            </w:r>
          </w:p>
          <w:p w14:paraId="20248B65" w14:textId="77777777" w:rsidR="00FB3FFA" w:rsidRPr="00EA6057" w:rsidRDefault="00FB3FFA" w:rsidP="00FB3FFA">
            <w:pPr>
              <w:jc w:val="center"/>
              <w:rPr>
                <w:rFonts w:ascii="Times New Roman" w:hAnsi="Times New Roman" w:cs="Times New Roman"/>
                <w:b/>
                <w:bCs/>
                <w:sz w:val="28"/>
                <w:szCs w:val="28"/>
              </w:rPr>
            </w:pPr>
            <w:r w:rsidRPr="00EA6057">
              <w:rPr>
                <w:rFonts w:ascii="Times New Roman" w:hAnsi="Times New Roman" w:cs="Times New Roman"/>
                <w:b/>
                <w:bCs/>
                <w:sz w:val="28"/>
                <w:szCs w:val="28"/>
              </w:rPr>
              <w:t>SỞ KHOA HỌC VÀ CÔNG NGHỆ</w:t>
            </w:r>
          </w:p>
          <w:p w14:paraId="36EC6411" w14:textId="3779A04C" w:rsidR="000E28F3" w:rsidRPr="00EA6057" w:rsidRDefault="000E28F3" w:rsidP="00FB3FFA">
            <w:pPr>
              <w:jc w:val="center"/>
              <w:rPr>
                <w:rFonts w:ascii="Times New Roman" w:hAnsi="Times New Roman" w:cs="Times New Roman"/>
                <w:b/>
                <w:bCs/>
                <w:sz w:val="28"/>
                <w:szCs w:val="28"/>
              </w:rPr>
            </w:pPr>
            <w:r w:rsidRPr="00EA6057">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53C63756" wp14:editId="5EA12DBE">
                      <wp:simplePos x="0" y="0"/>
                      <wp:positionH relativeFrom="column">
                        <wp:posOffset>1523365</wp:posOffset>
                      </wp:positionH>
                      <wp:positionV relativeFrom="paragraph">
                        <wp:posOffset>57785</wp:posOffset>
                      </wp:positionV>
                      <wp:extent cx="695960" cy="0"/>
                      <wp:effectExtent l="0" t="0" r="0" b="0"/>
                      <wp:wrapNone/>
                      <wp:docPr id="17711086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01534" id="Straight Connector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5pt,4.55pt" to="174.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" strokeweight=".5pt"/>
                  </w:pict>
                </mc:Fallback>
              </mc:AlternateContent>
            </w:r>
          </w:p>
        </w:tc>
        <w:tc>
          <w:tcPr>
            <w:tcW w:w="6475" w:type="dxa"/>
          </w:tcPr>
          <w:p w14:paraId="559FFB8C" w14:textId="20ABC9E9" w:rsidR="00FB3FFA" w:rsidRPr="00EA6057" w:rsidRDefault="00FB3FFA" w:rsidP="00FB3FFA">
            <w:pPr>
              <w:jc w:val="center"/>
              <w:rPr>
                <w:rFonts w:ascii="Times New Roman" w:hAnsi="Times New Roman" w:cs="Times New Roman"/>
                <w:b/>
                <w:bCs/>
                <w:sz w:val="28"/>
                <w:szCs w:val="28"/>
              </w:rPr>
            </w:pPr>
            <w:r w:rsidRPr="00EA6057">
              <w:rPr>
                <w:rFonts w:ascii="Times New Roman" w:hAnsi="Times New Roman" w:cs="Times New Roman"/>
                <w:b/>
                <w:bCs/>
                <w:sz w:val="28"/>
                <w:szCs w:val="28"/>
              </w:rPr>
              <w:t>CỘNG HOÀ XÃ HỘI CHỦ NGHĨA VIỆT NAM</w:t>
            </w:r>
          </w:p>
          <w:p w14:paraId="5597481C" w14:textId="77777777" w:rsidR="00FB3FFA" w:rsidRPr="00EA6057" w:rsidRDefault="00FB3FFA" w:rsidP="00FB3FFA">
            <w:pPr>
              <w:jc w:val="center"/>
              <w:rPr>
                <w:rFonts w:ascii="Times New Roman" w:hAnsi="Times New Roman" w:cs="Times New Roman"/>
                <w:sz w:val="28"/>
                <w:szCs w:val="28"/>
              </w:rPr>
            </w:pPr>
            <w:r w:rsidRPr="00EA6057">
              <w:rPr>
                <w:rFonts w:ascii="Times New Roman" w:hAnsi="Times New Roman" w:cs="Times New Roman"/>
                <w:b/>
                <w:bCs/>
                <w:sz w:val="28"/>
                <w:szCs w:val="28"/>
              </w:rPr>
              <w:t>Độc lập – Tự do – Hạnh phúc</w:t>
            </w:r>
          </w:p>
          <w:p w14:paraId="1EC1EC74" w14:textId="7BA8D1DB" w:rsidR="00147DD0" w:rsidRPr="00EA6057" w:rsidRDefault="008B6955" w:rsidP="00FB3FFA">
            <w:pPr>
              <w:jc w:val="center"/>
              <w:rPr>
                <w:rFonts w:ascii="Times New Roman" w:hAnsi="Times New Roman" w:cs="Times New Roman"/>
                <w:i/>
                <w:iCs/>
                <w:sz w:val="28"/>
                <w:szCs w:val="28"/>
              </w:rPr>
            </w:pPr>
            <w:r w:rsidRPr="00EA6057">
              <w:rPr>
                <w:rFonts w:ascii="Times New Roman" w:hAnsi="Times New Roman" w:cs="Times New Roman"/>
                <w:i/>
                <w:iCs/>
                <w:noProof/>
                <w:sz w:val="28"/>
                <w:szCs w:val="28"/>
              </w:rPr>
              <mc:AlternateContent>
                <mc:Choice Requires="wps">
                  <w:drawing>
                    <wp:anchor distT="0" distB="0" distL="114300" distR="114300" simplePos="0" relativeHeight="251659264" behindDoc="0" locked="0" layoutInCell="1" allowOverlap="1" wp14:anchorId="1687B7CC" wp14:editId="57D62C5C">
                      <wp:simplePos x="0" y="0"/>
                      <wp:positionH relativeFrom="column">
                        <wp:posOffset>888365</wp:posOffset>
                      </wp:positionH>
                      <wp:positionV relativeFrom="paragraph">
                        <wp:posOffset>39370</wp:posOffset>
                      </wp:positionV>
                      <wp:extent cx="2216150" cy="0"/>
                      <wp:effectExtent l="0" t="0" r="0" b="0"/>
                      <wp:wrapNone/>
                      <wp:docPr id="1909636669" name="Straight Connector 2"/>
                      <wp:cNvGraphicFramePr/>
                      <a:graphic xmlns:a="http://schemas.openxmlformats.org/drawingml/2006/main">
                        <a:graphicData uri="http://schemas.microsoft.com/office/word/2010/wordprocessingShape">
                          <wps:wsp>
                            <wps:cNvCnPr/>
                            <wps:spPr>
                              <a:xfrm flipV="1">
                                <a:off x="0" y="0"/>
                                <a:ext cx="2216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0FDA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3.1pt" to="244.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" strokecolor="black [3213]" strokeweight=".5pt">
                      <v:stroke joinstyle="miter"/>
                    </v:line>
                  </w:pict>
                </mc:Fallback>
              </mc:AlternateContent>
            </w:r>
          </w:p>
          <w:p w14:paraId="25C7BF90" w14:textId="3FA264A6" w:rsidR="00FB3FFA" w:rsidRPr="00EA6057" w:rsidRDefault="00814EC0" w:rsidP="00814EC0">
            <w:pPr>
              <w:rPr>
                <w:rFonts w:ascii="Times New Roman" w:hAnsi="Times New Roman" w:cs="Times New Roman"/>
                <w:sz w:val="28"/>
                <w:szCs w:val="28"/>
              </w:rPr>
            </w:pPr>
            <w:r w:rsidRPr="00EA6057">
              <w:rPr>
                <w:rFonts w:ascii="Times New Roman" w:hAnsi="Times New Roman" w:cs="Times New Roman"/>
                <w:i/>
                <w:iCs/>
                <w:sz w:val="28"/>
                <w:szCs w:val="28"/>
              </w:rPr>
              <w:t xml:space="preserve">                   Đăk Lắk</w:t>
            </w:r>
            <w:r w:rsidR="00147DD0" w:rsidRPr="00EA6057">
              <w:rPr>
                <w:rFonts w:ascii="Times New Roman" w:hAnsi="Times New Roman" w:cs="Times New Roman"/>
                <w:i/>
                <w:iCs/>
                <w:sz w:val="28"/>
                <w:szCs w:val="28"/>
              </w:rPr>
              <w:t xml:space="preserve">, ngày </w:t>
            </w:r>
            <w:r w:rsidR="001824CF" w:rsidRPr="00EA6057">
              <w:rPr>
                <w:rFonts w:ascii="Times New Roman" w:hAnsi="Times New Roman" w:cs="Times New Roman"/>
                <w:i/>
                <w:iCs/>
                <w:sz w:val="28"/>
                <w:szCs w:val="28"/>
              </w:rPr>
              <w:t xml:space="preserve">    </w:t>
            </w:r>
            <w:r w:rsidR="00147DD0" w:rsidRPr="00EA6057">
              <w:rPr>
                <w:rFonts w:ascii="Times New Roman" w:hAnsi="Times New Roman" w:cs="Times New Roman"/>
                <w:i/>
                <w:iCs/>
                <w:sz w:val="28"/>
                <w:szCs w:val="28"/>
              </w:rPr>
              <w:t xml:space="preserve"> tháng </w:t>
            </w:r>
            <w:r w:rsidR="001824CF" w:rsidRPr="00EA6057">
              <w:rPr>
                <w:rFonts w:ascii="Times New Roman" w:hAnsi="Times New Roman" w:cs="Times New Roman"/>
                <w:i/>
                <w:iCs/>
                <w:sz w:val="28"/>
                <w:szCs w:val="28"/>
              </w:rPr>
              <w:t>6</w:t>
            </w:r>
            <w:r w:rsidR="00147DD0" w:rsidRPr="00EA6057">
              <w:rPr>
                <w:rFonts w:ascii="Times New Roman" w:hAnsi="Times New Roman" w:cs="Times New Roman"/>
                <w:i/>
                <w:iCs/>
                <w:sz w:val="28"/>
                <w:szCs w:val="28"/>
              </w:rPr>
              <w:t xml:space="preserve"> năm </w:t>
            </w:r>
            <w:r w:rsidR="00147DD0" w:rsidRPr="00EA6057">
              <w:rPr>
                <w:rFonts w:ascii="Times New Roman" w:hAnsi="Times New Roman" w:cs="Times New Roman"/>
                <w:i/>
                <w:sz w:val="28"/>
                <w:szCs w:val="28"/>
              </w:rPr>
              <w:t>2026</w:t>
            </w:r>
          </w:p>
        </w:tc>
      </w:tr>
    </w:tbl>
    <w:tbl>
      <w:tblPr>
        <w:tblStyle w:val="TableGrid"/>
        <w:tblpPr w:leftFromText="180" w:rightFromText="180" w:vertAnchor="text" w:horzAnchor="page" w:tblpX="3253" w:tblpY="40"/>
        <w:tblW w:w="0" w:type="auto"/>
        <w:tblLook w:val="04A0" w:firstRow="1" w:lastRow="0" w:firstColumn="1" w:lastColumn="0" w:noHBand="0" w:noVBand="1"/>
      </w:tblPr>
      <w:tblGrid>
        <w:gridCol w:w="1809"/>
      </w:tblGrid>
      <w:tr w:rsidR="004C7B15" w:rsidRPr="004C7B15" w14:paraId="07EBA153" w14:textId="77777777" w:rsidTr="004C7B15">
        <w:trPr>
          <w:trHeight w:val="416"/>
        </w:trPr>
        <w:tc>
          <w:tcPr>
            <w:tcW w:w="1809" w:type="dxa"/>
          </w:tcPr>
          <w:p w14:paraId="7F1C9E23" w14:textId="77777777" w:rsidR="004C7B15" w:rsidRPr="004C7B15" w:rsidRDefault="004C7B15" w:rsidP="004C7B15">
            <w:pPr>
              <w:jc w:val="center"/>
              <w:rPr>
                <w:rFonts w:ascii="Times New Roman" w:hAnsi="Times New Roman" w:cs="Times New Roman"/>
                <w:b/>
                <w:sz w:val="28"/>
                <w:szCs w:val="28"/>
              </w:rPr>
            </w:pPr>
            <w:r w:rsidRPr="004C7B15">
              <w:rPr>
                <w:rFonts w:ascii="Times New Roman" w:hAnsi="Times New Roman" w:cs="Times New Roman"/>
                <w:b/>
                <w:sz w:val="28"/>
                <w:szCs w:val="28"/>
              </w:rPr>
              <w:t>DỰ THẢO</w:t>
            </w:r>
          </w:p>
        </w:tc>
      </w:tr>
    </w:tbl>
    <w:p w14:paraId="071B6794" w14:textId="22CF38A8" w:rsidR="00C15220" w:rsidRDefault="00C15220">
      <w:pPr>
        <w:rPr>
          <w:rFonts w:ascii="Times New Roman" w:hAnsi="Times New Roman" w:cs="Times New Roman"/>
          <w:sz w:val="28"/>
          <w:szCs w:val="28"/>
        </w:rPr>
      </w:pPr>
    </w:p>
    <w:p w14:paraId="571C1EC6" w14:textId="77777777" w:rsidR="004C7B15" w:rsidRDefault="004C7B15" w:rsidP="00DB280D">
      <w:pPr>
        <w:spacing w:after="0" w:line="240" w:lineRule="auto"/>
        <w:jc w:val="center"/>
        <w:rPr>
          <w:rFonts w:ascii="Times New Roman" w:hAnsi="Times New Roman" w:cs="Times New Roman"/>
          <w:b/>
          <w:bCs/>
          <w:sz w:val="28"/>
          <w:szCs w:val="28"/>
        </w:rPr>
      </w:pPr>
    </w:p>
    <w:p w14:paraId="0039D55E" w14:textId="7832FCE0" w:rsidR="00FB3FFA" w:rsidRDefault="00DB280D" w:rsidP="00DB280D">
      <w:pPr>
        <w:spacing w:after="0" w:line="240" w:lineRule="auto"/>
        <w:jc w:val="center"/>
        <w:rPr>
          <w:rFonts w:ascii="Times New Roman" w:hAnsi="Times New Roman" w:cs="Times New Roman"/>
          <w:b/>
          <w:bCs/>
          <w:sz w:val="28"/>
          <w:szCs w:val="28"/>
        </w:rPr>
      </w:pPr>
      <w:r w:rsidRPr="00EA6057">
        <w:rPr>
          <w:rFonts w:ascii="Times New Roman" w:hAnsi="Times New Roman" w:cs="Times New Roman"/>
          <w:b/>
          <w:bCs/>
          <w:sz w:val="28"/>
          <w:szCs w:val="28"/>
        </w:rPr>
        <w:t>BẢN SO SÁNH, THUYẾT MINH NỘI DUNG DỰ THẢO NGHỊ QUYẾT QUY ĐỊNH NỘI DUNG VÀ MỨC CHI QUẢN LÝ HOẠT ĐỘNG KHOA HỌC, CÔNG NGHỆ VÀ ĐỔI MỚI SÁNG TẠO CÓ SỬ DỤNG NGÂN SÁCH NHÀ NƯỚC TRÊN ĐỊA BÀN TỈ</w:t>
      </w:r>
      <w:r w:rsidR="00512E93" w:rsidRPr="00EA6057">
        <w:rPr>
          <w:rFonts w:ascii="Times New Roman" w:hAnsi="Times New Roman" w:cs="Times New Roman"/>
          <w:b/>
          <w:bCs/>
          <w:sz w:val="28"/>
          <w:szCs w:val="28"/>
        </w:rPr>
        <w:t xml:space="preserve">NH ĐẮK </w:t>
      </w:r>
      <w:r w:rsidRPr="00EA6057">
        <w:rPr>
          <w:rFonts w:ascii="Times New Roman" w:hAnsi="Times New Roman" w:cs="Times New Roman"/>
          <w:b/>
          <w:bCs/>
          <w:sz w:val="28"/>
          <w:szCs w:val="28"/>
        </w:rPr>
        <w:t>LẮK</w:t>
      </w:r>
    </w:p>
    <w:p w14:paraId="17E75B6B" w14:textId="32622E45" w:rsidR="001C622E" w:rsidRDefault="001C622E" w:rsidP="00DB280D">
      <w:pPr>
        <w:spacing w:after="0" w:line="240" w:lineRule="auto"/>
        <w:jc w:val="center"/>
        <w:rPr>
          <w:rFonts w:ascii="Times New Roman" w:hAnsi="Times New Roman" w:cs="Times New Roman"/>
          <w:b/>
          <w:bCs/>
          <w:sz w:val="28"/>
          <w:szCs w:val="28"/>
        </w:rPr>
      </w:pPr>
    </w:p>
    <w:p w14:paraId="7B95C8C8" w14:textId="2892CC85" w:rsidR="001C622E" w:rsidRDefault="001C622E" w:rsidP="00DB280D">
      <w:pPr>
        <w:spacing w:after="0" w:line="240" w:lineRule="auto"/>
        <w:jc w:val="center"/>
        <w:rPr>
          <w:rFonts w:ascii="Times New Roman" w:hAnsi="Times New Roman" w:cs="Times New Roman"/>
          <w:b/>
          <w:bCs/>
          <w:sz w:val="28"/>
          <w:szCs w:val="28"/>
        </w:rPr>
      </w:pPr>
    </w:p>
    <w:p w14:paraId="7652D55F" w14:textId="77777777" w:rsidR="001C622E" w:rsidRPr="006F3125" w:rsidRDefault="001C622E" w:rsidP="001C622E">
      <w:pPr>
        <w:ind w:firstLine="720"/>
        <w:rPr>
          <w:rFonts w:ascii="Times New Roman" w:hAnsi="Times New Roman" w:cs="Times New Roman"/>
          <w:b/>
          <w:bCs/>
          <w:sz w:val="28"/>
          <w:szCs w:val="28"/>
        </w:rPr>
      </w:pPr>
      <w:r w:rsidRPr="006F3125">
        <w:rPr>
          <w:rFonts w:ascii="Times New Roman" w:hAnsi="Times New Roman" w:cs="Times New Roman"/>
          <w:b/>
          <w:bCs/>
          <w:i/>
          <w:iCs/>
          <w:sz w:val="28"/>
          <w:szCs w:val="28"/>
        </w:rPr>
        <w:t>Cơ sở thực tiễn</w:t>
      </w:r>
      <w:r w:rsidRPr="006F3125">
        <w:rPr>
          <w:rFonts w:ascii="Times New Roman" w:hAnsi="Times New Roman" w:cs="Times New Roman"/>
          <w:b/>
          <w:bCs/>
          <w:sz w:val="28"/>
          <w:szCs w:val="28"/>
        </w:rPr>
        <w:t xml:space="preserve">: </w:t>
      </w:r>
    </w:p>
    <w:p w14:paraId="62D0A1C2" w14:textId="77777777" w:rsidR="001C622E" w:rsidRPr="006F3125" w:rsidRDefault="001C622E" w:rsidP="001C622E">
      <w:pPr>
        <w:ind w:firstLine="720"/>
        <w:jc w:val="both"/>
        <w:rPr>
          <w:rFonts w:ascii="Times New Roman" w:hAnsi="Times New Roman" w:cs="Times New Roman"/>
          <w:sz w:val="28"/>
          <w:szCs w:val="28"/>
        </w:rPr>
      </w:pPr>
      <w:r w:rsidRPr="006F3125">
        <w:rPr>
          <w:rFonts w:ascii="Times New Roman" w:hAnsi="Times New Roman" w:cs="Times New Roman"/>
          <w:sz w:val="28"/>
          <w:szCs w:val="28"/>
        </w:rPr>
        <w:t xml:space="preserve">Để triển khai thực hiện các quy định của Trung ương trên địa bàn tỉnh; đảm bảo cho các </w:t>
      </w:r>
      <w:r w:rsidRPr="006F3125">
        <w:rPr>
          <w:rFonts w:ascii="Times New Roman" w:hAnsi="Times New Roman" w:cs="Times New Roman"/>
          <w:bCs/>
          <w:color w:val="000000"/>
          <w:sz w:val="28"/>
          <w:szCs w:val="28"/>
          <w:lang w:val="vi-VN"/>
        </w:rPr>
        <w:t xml:space="preserve">các cơ quan, đơn vị, tổ chức, doanh nghiệp và cá nhân hoạt động trong lĩnh vực khoa học, công nghệ và đổi mới sáng tạo </w:t>
      </w:r>
      <w:r w:rsidRPr="006F3125">
        <w:rPr>
          <w:rFonts w:ascii="Times New Roman" w:hAnsi="Times New Roman" w:cs="Times New Roman"/>
          <w:color w:val="000000"/>
          <w:sz w:val="28"/>
          <w:szCs w:val="28"/>
        </w:rPr>
        <w:t>làm</w:t>
      </w:r>
      <w:r w:rsidRPr="006F3125">
        <w:rPr>
          <w:rFonts w:ascii="Times New Roman" w:hAnsi="Times New Roman" w:cs="Times New Roman"/>
          <w:sz w:val="28"/>
          <w:szCs w:val="28"/>
        </w:rPr>
        <w:t xml:space="preserve"> căn cứ sử dụng kinh phí chi quản lý trên địa bàn tỉnh Đắk Lắk, bảo đảm phù hợp với quy định hiện hành và tình hình thực tiễn hiện nay. </w:t>
      </w:r>
    </w:p>
    <w:p w14:paraId="78DA803E" w14:textId="77777777" w:rsidR="001C622E" w:rsidRPr="006F3125" w:rsidRDefault="001C622E" w:rsidP="001C622E">
      <w:pPr>
        <w:ind w:firstLine="720"/>
        <w:jc w:val="both"/>
        <w:rPr>
          <w:rFonts w:ascii="Times New Roman" w:hAnsi="Times New Roman" w:cs="Times New Roman"/>
          <w:sz w:val="28"/>
          <w:szCs w:val="28"/>
        </w:rPr>
      </w:pPr>
      <w:r w:rsidRPr="006F3125">
        <w:rPr>
          <w:rFonts w:ascii="Times New Roman" w:hAnsi="Times New Roman" w:cs="Times New Roman"/>
          <w:sz w:val="28"/>
          <w:szCs w:val="28"/>
        </w:rPr>
        <w:t>Dự thảo đề xuất quy định nội dung và mức chi quản lý hoạt động khoa học, công nghệ và đổi mới sáng tạo có sử dụng ngân sách nhà nước tại Nghị quyết này là định mức và mức chi tối đa được quy định tại Thông tư 38/2025/TT-BKHCN. Với lý do:</w:t>
      </w:r>
    </w:p>
    <w:p w14:paraId="7176B285" w14:textId="77777777" w:rsidR="001C622E" w:rsidRPr="006F3125" w:rsidRDefault="001C622E" w:rsidP="001C622E">
      <w:pPr>
        <w:ind w:firstLine="720"/>
        <w:jc w:val="both"/>
        <w:rPr>
          <w:rFonts w:ascii="Times New Roman" w:hAnsi="Times New Roman" w:cs="Times New Roman"/>
          <w:sz w:val="28"/>
          <w:szCs w:val="28"/>
        </w:rPr>
      </w:pPr>
      <w:r w:rsidRPr="006F3125">
        <w:rPr>
          <w:rFonts w:ascii="Times New Roman" w:hAnsi="Times New Roman" w:cs="Times New Roman"/>
          <w:sz w:val="28"/>
          <w:szCs w:val="28"/>
        </w:rPr>
        <w:t>Trước khi sáp nhập, cả 02 tỉnh cũ Đắk Lắk và Phú Yên đều có ban hành Nghị quyết q</w:t>
      </w:r>
      <w:r w:rsidRPr="006F3125">
        <w:rPr>
          <w:rFonts w:ascii="Times New Roman" w:hAnsi="Times New Roman" w:cs="Times New Roman"/>
          <w:bCs/>
          <w:color w:val="000000"/>
          <w:sz w:val="28"/>
          <w:szCs w:val="28"/>
          <w:lang w:val="nl-NL"/>
        </w:rPr>
        <w:t>uy định định mức lập dự toán thực hiện nhiệm vụ khoa học và công nghệ cấp tỉnh, cấp cơ sở sử dụng ngân sách nhà nước</w:t>
      </w:r>
      <w:r w:rsidRPr="006F3125">
        <w:rPr>
          <w:rFonts w:ascii="Times New Roman" w:hAnsi="Times New Roman" w:cs="Times New Roman"/>
          <w:sz w:val="28"/>
          <w:szCs w:val="28"/>
        </w:rPr>
        <w:t xml:space="preserve"> (cụ thể: </w:t>
      </w:r>
      <w:r w:rsidRPr="006F3125">
        <w:rPr>
          <w:rFonts w:ascii="Times New Roman" w:hAnsi="Times New Roman" w:cs="Times New Roman"/>
          <w:bCs/>
          <w:color w:val="000000"/>
          <w:sz w:val="28"/>
          <w:szCs w:val="28"/>
          <w:lang w:val="nl-NL"/>
        </w:rPr>
        <w:t xml:space="preserve">Nghị quyết số 30/2023/NQ-HĐND ngày 07/12/2023 </w:t>
      </w:r>
      <w:r w:rsidRPr="006F3125">
        <w:rPr>
          <w:rFonts w:ascii="Times New Roman" w:hAnsi="Times New Roman" w:cs="Times New Roman"/>
          <w:sz w:val="28"/>
          <w:szCs w:val="28"/>
        </w:rPr>
        <w:t>của HĐND tỉnh Đắk Lắk; Nghị quyết số 20/2023/NQ-HĐND ngày 18/10/2023 của HĐND tỉnh Phú Yên).</w:t>
      </w:r>
    </w:p>
    <w:p w14:paraId="71AB9D03" w14:textId="77777777" w:rsidR="001C622E" w:rsidRPr="006F3125" w:rsidRDefault="001C622E" w:rsidP="001C622E">
      <w:pPr>
        <w:jc w:val="both"/>
        <w:rPr>
          <w:rFonts w:ascii="Times New Roman" w:hAnsi="Times New Roman" w:cs="Times New Roman"/>
          <w:sz w:val="28"/>
          <w:szCs w:val="28"/>
        </w:rPr>
      </w:pPr>
      <w:r w:rsidRPr="006F3125">
        <w:rPr>
          <w:rFonts w:ascii="Times New Roman" w:hAnsi="Times New Roman" w:cs="Times New Roman"/>
          <w:sz w:val="28"/>
          <w:szCs w:val="28"/>
        </w:rPr>
        <w:tab/>
        <w:t xml:space="preserve">Sau khi sáp nhập tỉnh, HĐND tỉnh Đắk Lắk (mới) đã ban hành Nghị quyết số 30/NQ-HĐND ngày 15/9/2025 của HĐND tỉnh Đắk Lắk về việc áp dụng và bãi bỏ các Nghị quyết quy phạm pháp luật trong lĩnh vực khoa học và công nghệ do HĐND tỉnh Đắk Lắk (cũ) HĐND tỉnh Phú Yên (trước đây) ban hành trước sắp xếp đơn vị hành chính cấp tỉnh; trong đó: áp dụng thống nhất Nghị quyết số 30/2023/NQ-HĐND ngày 07/12/2023 của HĐND tỉnh Đắk Lắk (cũ) Quy định định mức lập dự toán </w:t>
      </w:r>
      <w:r w:rsidRPr="006F3125">
        <w:rPr>
          <w:rFonts w:ascii="Times New Roman" w:hAnsi="Times New Roman" w:cs="Times New Roman"/>
          <w:sz w:val="28"/>
          <w:szCs w:val="28"/>
        </w:rPr>
        <w:lastRenderedPageBreak/>
        <w:t xml:space="preserve">thực hiện nhiệm vụ khoa học và công nghệ cấp tỉnh, cấp cơ sở sử dụng ngân sách nhà nước trên địa bàn tỉnh Đắk Lắk và bãi bỏ Nghị quyết số 20/2023/NQ-HĐND ngày 18/10/2023 của HĐND tỉnh Phú Yên (cũ) Quy định định mức lập dự toán thực hiện nhiệm vụ khoa học và công nghệ có sử dụng ngân sách nhà nước trên địa bàn tỉnh Phú Yên. </w:t>
      </w:r>
    </w:p>
    <w:p w14:paraId="5FB3704D" w14:textId="77777777" w:rsidR="001C622E" w:rsidRPr="006F3125" w:rsidRDefault="001C622E" w:rsidP="001C622E">
      <w:pPr>
        <w:jc w:val="both"/>
        <w:rPr>
          <w:rFonts w:ascii="Times New Roman" w:hAnsi="Times New Roman" w:cs="Times New Roman"/>
          <w:sz w:val="28"/>
          <w:szCs w:val="28"/>
        </w:rPr>
      </w:pPr>
      <w:r w:rsidRPr="006F3125">
        <w:rPr>
          <w:rFonts w:ascii="Times New Roman" w:hAnsi="Times New Roman" w:cs="Times New Roman"/>
          <w:sz w:val="28"/>
          <w:szCs w:val="28"/>
        </w:rPr>
        <w:tab/>
        <w:t xml:space="preserve">Trước đây, </w:t>
      </w:r>
      <w:r w:rsidRPr="006F3125">
        <w:rPr>
          <w:rFonts w:ascii="Times New Roman" w:hAnsi="Times New Roman" w:cs="Times New Roman"/>
          <w:bCs/>
          <w:color w:val="000000"/>
          <w:sz w:val="28"/>
          <w:szCs w:val="28"/>
          <w:lang w:val="nl-NL"/>
        </w:rPr>
        <w:t xml:space="preserve">Nghị quyết số 30/2023/NQ-HĐND ngày 07/12/2023 </w:t>
      </w:r>
      <w:r w:rsidRPr="006F3125">
        <w:rPr>
          <w:rFonts w:ascii="Times New Roman" w:hAnsi="Times New Roman" w:cs="Times New Roman"/>
          <w:sz w:val="28"/>
          <w:szCs w:val="28"/>
        </w:rPr>
        <w:t>của HĐND tỉnh Đắk Lắk được xây dựng trên cơ sở của 02 Thông tư: Thông tư số 03/2023/TT-BTC ngày 10/01/2023 của Bộ Tài chính và Thông tư số 02/2023/TT-BKHCN ngày 08/5/2023 của Bộ Khoa học và Công nghệ. Hội đồng nhân dân tỉnh Đắk Lắk cho phép áp dụng mức chi thấp hơn định mức của 02 Thông tư này.</w:t>
      </w:r>
    </w:p>
    <w:p w14:paraId="01E82FB0" w14:textId="77777777" w:rsidR="001C622E" w:rsidRPr="006F3125" w:rsidRDefault="001C622E" w:rsidP="001C622E">
      <w:pPr>
        <w:jc w:val="both"/>
        <w:rPr>
          <w:rFonts w:ascii="Times New Roman" w:hAnsi="Times New Roman" w:cs="Times New Roman"/>
          <w:sz w:val="28"/>
          <w:szCs w:val="28"/>
        </w:rPr>
      </w:pPr>
      <w:r w:rsidRPr="006F3125">
        <w:rPr>
          <w:rFonts w:ascii="Times New Roman" w:hAnsi="Times New Roman" w:cs="Times New Roman"/>
          <w:sz w:val="28"/>
          <w:szCs w:val="28"/>
        </w:rPr>
        <w:tab/>
        <w:t>Hiện nay tiềm lực của tỉnh Đắk Lắk mới đã lớn mạnh hơn. Ngoài ra, Nghị quyết số 57-NQ/TW ngày 22 tháng 12 năm 2024 của Bộ Chính trị và Quyết định số 569/QĐ-TTg ngày 11 tháng 5 năm 2022 của Thủ tướng Chính phủ đã khẳng định vai trò của khoa học, công nghệ, đổi mới sáng tạo và chuyển đổi số; bố trí ít nhất 3% tổng chi ngân sách hằng năm cho phát triển khoa học, công nghệ, đổi mới sáng tạo, chuyển đổi số quốc gia; đến năm 2030, đầu tư cho khoa học, công nghệ đạt 1,5%-2% GDP, trong đó tổng chi quốc gia cho nghiên cứu khoa học và phát triển công nghệ đạt 1%-2% GDP.</w:t>
      </w:r>
    </w:p>
    <w:p w14:paraId="437A3420" w14:textId="77777777" w:rsidR="001C622E" w:rsidRPr="006F3125" w:rsidRDefault="001C622E" w:rsidP="001C622E">
      <w:pPr>
        <w:jc w:val="both"/>
        <w:rPr>
          <w:rFonts w:ascii="Times New Roman" w:hAnsi="Times New Roman" w:cs="Times New Roman"/>
          <w:sz w:val="28"/>
          <w:szCs w:val="28"/>
        </w:rPr>
      </w:pPr>
      <w:r w:rsidRPr="006F3125">
        <w:rPr>
          <w:rFonts w:ascii="Times New Roman" w:hAnsi="Times New Roman" w:cs="Times New Roman"/>
          <w:sz w:val="28"/>
          <w:szCs w:val="28"/>
        </w:rPr>
        <w:tab/>
        <w:t>Với thực tiễn nêu trên và để đảm bảo tối đa quyền lợi cho nhà khoa học cũng như khuyến khích các nhà khoa học phát huy, cống hiến cho sự nghiệp khoa học, công nghệ, đổi mới sáng tạo của tỉnh nhà. Sở Khoa học và công nghệ đề xuất mức chi trong dự thảo áp dụng mức tối đa bằng 100% định mức của Thông tư số 38/2025/TT-BKHCN.</w:t>
      </w:r>
    </w:p>
    <w:p w14:paraId="22BCD060" w14:textId="77777777" w:rsidR="001C622E" w:rsidRDefault="001C622E" w:rsidP="00DB280D">
      <w:pPr>
        <w:spacing w:after="0" w:line="240" w:lineRule="auto"/>
        <w:jc w:val="center"/>
        <w:rPr>
          <w:rFonts w:ascii="Times New Roman" w:hAnsi="Times New Roman" w:cs="Times New Roman"/>
          <w:b/>
          <w:bCs/>
          <w:sz w:val="28"/>
          <w:szCs w:val="28"/>
        </w:rPr>
      </w:pPr>
    </w:p>
    <w:p w14:paraId="2E85D8FC" w14:textId="7A6E3A84" w:rsidR="001C622E" w:rsidRDefault="001C622E" w:rsidP="00DB280D">
      <w:pPr>
        <w:spacing w:after="0" w:line="240" w:lineRule="auto"/>
        <w:jc w:val="center"/>
        <w:rPr>
          <w:rFonts w:ascii="Times New Roman" w:hAnsi="Times New Roman" w:cs="Times New Roman"/>
          <w:b/>
          <w:bCs/>
          <w:sz w:val="28"/>
          <w:szCs w:val="28"/>
        </w:rPr>
      </w:pPr>
    </w:p>
    <w:p w14:paraId="71C7D429" w14:textId="3C593DD5" w:rsidR="001C622E" w:rsidRDefault="001C622E" w:rsidP="00DB280D">
      <w:pPr>
        <w:spacing w:after="0" w:line="240" w:lineRule="auto"/>
        <w:jc w:val="center"/>
        <w:rPr>
          <w:rFonts w:ascii="Times New Roman" w:hAnsi="Times New Roman" w:cs="Times New Roman"/>
          <w:b/>
          <w:bCs/>
          <w:sz w:val="28"/>
          <w:szCs w:val="28"/>
        </w:rPr>
      </w:pPr>
    </w:p>
    <w:p w14:paraId="46A5D87D" w14:textId="621C89CA" w:rsidR="001C622E" w:rsidRDefault="001C622E" w:rsidP="00DB280D">
      <w:pPr>
        <w:spacing w:after="0" w:line="240" w:lineRule="auto"/>
        <w:jc w:val="center"/>
        <w:rPr>
          <w:rFonts w:ascii="Times New Roman" w:hAnsi="Times New Roman" w:cs="Times New Roman"/>
          <w:b/>
          <w:bCs/>
          <w:sz w:val="28"/>
          <w:szCs w:val="28"/>
        </w:rPr>
      </w:pPr>
    </w:p>
    <w:p w14:paraId="7BDEFEBE" w14:textId="3268C9CD" w:rsidR="001C622E" w:rsidRDefault="001C622E" w:rsidP="00DB280D">
      <w:pPr>
        <w:spacing w:after="0" w:line="240" w:lineRule="auto"/>
        <w:jc w:val="center"/>
        <w:rPr>
          <w:rFonts w:ascii="Times New Roman" w:hAnsi="Times New Roman" w:cs="Times New Roman"/>
          <w:b/>
          <w:bCs/>
          <w:sz w:val="28"/>
          <w:szCs w:val="28"/>
        </w:rPr>
      </w:pPr>
    </w:p>
    <w:p w14:paraId="79129C08" w14:textId="77777777" w:rsidR="004C7B15" w:rsidRDefault="004C7B15" w:rsidP="00DB280D">
      <w:pPr>
        <w:spacing w:after="0" w:line="240" w:lineRule="auto"/>
        <w:jc w:val="center"/>
        <w:rPr>
          <w:rFonts w:ascii="Times New Roman" w:hAnsi="Times New Roman" w:cs="Times New Roman"/>
          <w:b/>
          <w:bCs/>
          <w:sz w:val="28"/>
          <w:szCs w:val="28"/>
        </w:rPr>
      </w:pPr>
      <w:bookmarkStart w:id="0" w:name="_GoBack"/>
      <w:bookmarkEnd w:id="0"/>
    </w:p>
    <w:p w14:paraId="792B3C2D" w14:textId="77777777" w:rsidR="001C622E" w:rsidRPr="00EA6057" w:rsidRDefault="001C622E" w:rsidP="00DB280D">
      <w:pPr>
        <w:spacing w:after="0" w:line="240" w:lineRule="auto"/>
        <w:jc w:val="center"/>
        <w:rPr>
          <w:rFonts w:ascii="Times New Roman" w:hAnsi="Times New Roman" w:cs="Times New Roman"/>
          <w:b/>
          <w:bCs/>
          <w:sz w:val="28"/>
          <w:szCs w:val="28"/>
        </w:rPr>
      </w:pPr>
    </w:p>
    <w:p w14:paraId="4568B4DB" w14:textId="77777777" w:rsidR="0028132B" w:rsidRPr="00EA6057" w:rsidRDefault="0028132B" w:rsidP="00F978C9">
      <w:pPr>
        <w:spacing w:after="0" w:line="240" w:lineRule="auto"/>
        <w:jc w:val="center"/>
        <w:rPr>
          <w:rFonts w:ascii="Times New Roman" w:hAnsi="Times New Roman" w:cs="Times New Roman"/>
          <w:b/>
          <w:bCs/>
          <w:sz w:val="28"/>
          <w:szCs w:val="28"/>
        </w:rPr>
      </w:pPr>
    </w:p>
    <w:p w14:paraId="04FADCFD" w14:textId="77777777" w:rsidR="00F978C9" w:rsidRPr="00EA6057" w:rsidRDefault="00F978C9" w:rsidP="00F978C9">
      <w:pPr>
        <w:spacing w:after="0" w:line="240" w:lineRule="auto"/>
        <w:rPr>
          <w:rFonts w:ascii="Times New Roman" w:hAnsi="Times New Roman" w:cs="Times New Roman"/>
          <w:b/>
          <w:bCs/>
          <w:sz w:val="28"/>
          <w:szCs w:val="28"/>
        </w:rPr>
      </w:pPr>
    </w:p>
    <w:tbl>
      <w:tblPr>
        <w:tblStyle w:val="TableGrid"/>
        <w:tblW w:w="14318" w:type="dxa"/>
        <w:tblInd w:w="-176" w:type="dxa"/>
        <w:tblLook w:val="04A0" w:firstRow="1" w:lastRow="0" w:firstColumn="1" w:lastColumn="0" w:noHBand="0" w:noVBand="1"/>
      </w:tblPr>
      <w:tblGrid>
        <w:gridCol w:w="851"/>
        <w:gridCol w:w="5387"/>
        <w:gridCol w:w="4111"/>
        <w:gridCol w:w="3969"/>
      </w:tblGrid>
      <w:tr w:rsidR="00EA6057" w:rsidRPr="00EA6057" w14:paraId="2B47E766" w14:textId="4D862415" w:rsidTr="00EA6057">
        <w:trPr>
          <w:tblHeader/>
        </w:trPr>
        <w:tc>
          <w:tcPr>
            <w:tcW w:w="851" w:type="dxa"/>
            <w:vAlign w:val="center"/>
          </w:tcPr>
          <w:p w14:paraId="3F1BF0FF" w14:textId="3F9697F2" w:rsidR="00EA6057" w:rsidRPr="00EA6057" w:rsidRDefault="00EA6057" w:rsidP="00EA6057">
            <w:pPr>
              <w:spacing w:after="120"/>
              <w:jc w:val="center"/>
              <w:rPr>
                <w:rFonts w:ascii="Times New Roman" w:hAnsi="Times New Roman" w:cs="Times New Roman"/>
                <w:b/>
                <w:sz w:val="28"/>
                <w:szCs w:val="28"/>
              </w:rPr>
            </w:pPr>
            <w:r w:rsidRPr="00EA6057">
              <w:rPr>
                <w:rFonts w:ascii="Times New Roman" w:hAnsi="Times New Roman" w:cs="Times New Roman"/>
                <w:b/>
                <w:sz w:val="28"/>
                <w:szCs w:val="28"/>
              </w:rPr>
              <w:lastRenderedPageBreak/>
              <w:t>STT</w:t>
            </w:r>
          </w:p>
        </w:tc>
        <w:tc>
          <w:tcPr>
            <w:tcW w:w="5387" w:type="dxa"/>
            <w:vAlign w:val="center"/>
          </w:tcPr>
          <w:p w14:paraId="0F4FE55A" w14:textId="77777777" w:rsidR="00EA6057" w:rsidRPr="00EA6057" w:rsidRDefault="00EA6057" w:rsidP="00EA6057">
            <w:pPr>
              <w:spacing w:before="120"/>
              <w:jc w:val="center"/>
              <w:rPr>
                <w:rFonts w:ascii="Times New Roman" w:hAnsi="Times New Roman" w:cs="Times New Roman"/>
                <w:b/>
                <w:bCs/>
                <w:sz w:val="28"/>
                <w:szCs w:val="28"/>
              </w:rPr>
            </w:pPr>
            <w:r w:rsidRPr="00EA6057">
              <w:rPr>
                <w:rFonts w:ascii="Times New Roman" w:hAnsi="Times New Roman" w:cs="Times New Roman"/>
                <w:b/>
                <w:bCs/>
                <w:sz w:val="28"/>
                <w:szCs w:val="28"/>
              </w:rPr>
              <w:t>QUY PHẠM PHÁP LUẬT HIỆN HÀNH</w:t>
            </w:r>
          </w:p>
          <w:p w14:paraId="2DF93E9B" w14:textId="071E5749" w:rsidR="00EA6057" w:rsidRPr="00EA6057" w:rsidRDefault="00EA6057" w:rsidP="00EA6057">
            <w:pPr>
              <w:spacing w:before="120" w:after="120"/>
              <w:jc w:val="center"/>
              <w:rPr>
                <w:rFonts w:ascii="Times New Roman" w:hAnsi="Times New Roman" w:cs="Times New Roman"/>
                <w:b/>
                <w:bCs/>
                <w:sz w:val="28"/>
                <w:szCs w:val="28"/>
              </w:rPr>
            </w:pPr>
            <w:r w:rsidRPr="00EA6057">
              <w:rPr>
                <w:rFonts w:ascii="Times New Roman" w:hAnsi="Times New Roman" w:cs="Times New Roman"/>
                <w:b/>
                <w:iCs/>
                <w:sz w:val="28"/>
                <w:szCs w:val="28"/>
              </w:rPr>
              <w:t>(NQ30/2023/NQ-HĐND)</w:t>
            </w:r>
          </w:p>
        </w:tc>
        <w:tc>
          <w:tcPr>
            <w:tcW w:w="4111" w:type="dxa"/>
            <w:vAlign w:val="center"/>
          </w:tcPr>
          <w:p w14:paraId="4DE37D3A" w14:textId="320737BA" w:rsidR="00EA6057" w:rsidRPr="00EA6057" w:rsidRDefault="00EA6057" w:rsidP="00EA6057">
            <w:pPr>
              <w:spacing w:after="120"/>
              <w:jc w:val="center"/>
              <w:rPr>
                <w:rFonts w:ascii="Times New Roman" w:hAnsi="Times New Roman" w:cs="Times New Roman"/>
                <w:b/>
                <w:bCs/>
                <w:sz w:val="28"/>
                <w:szCs w:val="28"/>
              </w:rPr>
            </w:pPr>
            <w:r w:rsidRPr="00EA6057">
              <w:rPr>
                <w:rFonts w:ascii="Times New Roman" w:hAnsi="Times New Roman" w:cs="Times New Roman"/>
                <w:b/>
                <w:bCs/>
                <w:sz w:val="28"/>
                <w:szCs w:val="28"/>
              </w:rPr>
              <w:t>DỰ THẢO NGHỊ QUYẾT MỚI</w:t>
            </w:r>
          </w:p>
        </w:tc>
        <w:tc>
          <w:tcPr>
            <w:tcW w:w="3969" w:type="dxa"/>
            <w:vAlign w:val="center"/>
          </w:tcPr>
          <w:p w14:paraId="2E2323A8" w14:textId="59F1BADA" w:rsidR="00EA6057" w:rsidRPr="00EA6057" w:rsidRDefault="00EA6057" w:rsidP="00EA6057">
            <w:pPr>
              <w:spacing w:after="120"/>
              <w:jc w:val="center"/>
              <w:rPr>
                <w:rFonts w:ascii="Times New Roman" w:hAnsi="Times New Roman" w:cs="Times New Roman"/>
                <w:b/>
                <w:bCs/>
                <w:sz w:val="28"/>
                <w:szCs w:val="28"/>
              </w:rPr>
            </w:pPr>
            <w:r w:rsidRPr="00EA6057">
              <w:rPr>
                <w:rFonts w:ascii="Times New Roman" w:hAnsi="Times New Roman" w:cs="Times New Roman"/>
                <w:b/>
                <w:bCs/>
                <w:sz w:val="28"/>
                <w:szCs w:val="28"/>
              </w:rPr>
              <w:t>THUYẾT MINH</w:t>
            </w:r>
          </w:p>
        </w:tc>
      </w:tr>
      <w:tr w:rsidR="00EA6057" w:rsidRPr="00EA6057" w14:paraId="43B62D5D" w14:textId="151BAF56" w:rsidTr="00EA6057">
        <w:trPr>
          <w:trHeight w:val="1387"/>
        </w:trPr>
        <w:tc>
          <w:tcPr>
            <w:tcW w:w="851" w:type="dxa"/>
            <w:vAlign w:val="center"/>
          </w:tcPr>
          <w:p w14:paraId="5AB84C11" w14:textId="16E7A2DE" w:rsidR="00EA6057" w:rsidRPr="00EA6057" w:rsidRDefault="00EA6057" w:rsidP="00EA6057">
            <w:pPr>
              <w:tabs>
                <w:tab w:val="left" w:pos="1820"/>
              </w:tabs>
              <w:spacing w:before="120" w:after="120"/>
              <w:jc w:val="center"/>
              <w:rPr>
                <w:rFonts w:ascii="Times New Roman" w:hAnsi="Times New Roman" w:cs="Times New Roman"/>
                <w:bCs/>
                <w:sz w:val="28"/>
                <w:szCs w:val="28"/>
              </w:rPr>
            </w:pPr>
            <w:r w:rsidRPr="00EA6057">
              <w:rPr>
                <w:rFonts w:ascii="Times New Roman" w:hAnsi="Times New Roman" w:cs="Times New Roman"/>
                <w:bCs/>
                <w:sz w:val="28"/>
                <w:szCs w:val="28"/>
              </w:rPr>
              <w:t>1</w:t>
            </w:r>
          </w:p>
        </w:tc>
        <w:tc>
          <w:tcPr>
            <w:tcW w:w="5387" w:type="dxa"/>
            <w:vAlign w:val="center"/>
          </w:tcPr>
          <w:p w14:paraId="6B4B187E" w14:textId="4F5FD2CC" w:rsidR="00EA6057" w:rsidRPr="00EA6057" w:rsidRDefault="00EA6057" w:rsidP="00EA6057">
            <w:pPr>
              <w:spacing w:before="120" w:after="120"/>
              <w:rPr>
                <w:rFonts w:ascii="Times New Roman" w:hAnsi="Times New Roman" w:cs="Times New Roman"/>
                <w:bCs/>
                <w:sz w:val="28"/>
                <w:szCs w:val="28"/>
              </w:rPr>
            </w:pPr>
            <w:r w:rsidRPr="00EA6057">
              <w:rPr>
                <w:rFonts w:ascii="Times New Roman" w:hAnsi="Times New Roman" w:cs="Times New Roman"/>
                <w:sz w:val="28"/>
                <w:szCs w:val="28"/>
              </w:rPr>
              <w:t>Điều 1. Phạm vi điều chỉnh: Quy định định mức lập dự toán thực hiện nhiệm vụ KH&amp;CN cấp tỉnh, cấp cơ sở sử dụng NSNN.</w:t>
            </w:r>
          </w:p>
        </w:tc>
        <w:tc>
          <w:tcPr>
            <w:tcW w:w="4111" w:type="dxa"/>
            <w:vAlign w:val="center"/>
          </w:tcPr>
          <w:p w14:paraId="3AF77E54" w14:textId="2A26C622"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1 khoản 1: Quy định nội dung và mức chi quản lý hoạt động khoa học, công nghệ và đổi mới sáng tạo có sử dụng NSNN.</w:t>
            </w:r>
          </w:p>
        </w:tc>
        <w:tc>
          <w:tcPr>
            <w:tcW w:w="3969" w:type="dxa"/>
          </w:tcPr>
          <w:p w14:paraId="62223EC5" w14:textId="2C8BE104"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Sửa đổi phạm vi điều chỉnh để phù hợp Luật KH,CN&amp;ĐMST năm 2025 và Thông tư 38/2025/TT-BKHCN; mở rộng từ nhiệm vụ KH&amp;CN sang hoạt động KH,CN&amp;ĐMST.</w:t>
            </w:r>
          </w:p>
        </w:tc>
      </w:tr>
      <w:tr w:rsidR="00EA6057" w:rsidRPr="00EA6057" w14:paraId="42A1D671" w14:textId="56CF052D" w:rsidTr="00EA6057">
        <w:tc>
          <w:tcPr>
            <w:tcW w:w="851" w:type="dxa"/>
            <w:vAlign w:val="center"/>
          </w:tcPr>
          <w:p w14:paraId="0DF1C56A" w14:textId="0D44280E" w:rsidR="00EA6057" w:rsidRPr="00EA6057" w:rsidRDefault="00EA6057" w:rsidP="00EA6057">
            <w:pPr>
              <w:tabs>
                <w:tab w:val="left" w:pos="1820"/>
              </w:tabs>
              <w:spacing w:before="120" w:after="120"/>
              <w:jc w:val="center"/>
              <w:rPr>
                <w:rFonts w:ascii="Times New Roman" w:hAnsi="Times New Roman" w:cs="Times New Roman"/>
                <w:bCs/>
                <w:sz w:val="28"/>
                <w:szCs w:val="28"/>
              </w:rPr>
            </w:pPr>
            <w:r w:rsidRPr="00EA6057">
              <w:rPr>
                <w:rFonts w:ascii="Times New Roman" w:hAnsi="Times New Roman" w:cs="Times New Roman"/>
                <w:bCs/>
                <w:sz w:val="28"/>
                <w:szCs w:val="28"/>
              </w:rPr>
              <w:t>2</w:t>
            </w:r>
          </w:p>
        </w:tc>
        <w:tc>
          <w:tcPr>
            <w:tcW w:w="5387" w:type="dxa"/>
            <w:vAlign w:val="center"/>
          </w:tcPr>
          <w:p w14:paraId="0F2F3227" w14:textId="0AC14D26" w:rsidR="00EA6057" w:rsidRPr="00EA6057" w:rsidRDefault="00EA6057" w:rsidP="00EA6057">
            <w:pPr>
              <w:spacing w:before="120" w:after="120"/>
              <w:rPr>
                <w:rFonts w:ascii="Times New Roman" w:hAnsi="Times New Roman" w:cs="Times New Roman"/>
                <w:bCs/>
                <w:sz w:val="28"/>
                <w:szCs w:val="28"/>
              </w:rPr>
            </w:pPr>
            <w:r w:rsidRPr="00EA6057">
              <w:rPr>
                <w:rFonts w:ascii="Times New Roman" w:hAnsi="Times New Roman" w:cs="Times New Roman"/>
                <w:sz w:val="28"/>
                <w:szCs w:val="28"/>
              </w:rPr>
              <w:t>Điều 1 khoản 2: Đối tượng áp dụng gồm cơ quan quản lý, tổ chức, cá nhân thực hiện nhiệm vụ KH&amp;CN.</w:t>
            </w:r>
          </w:p>
        </w:tc>
        <w:tc>
          <w:tcPr>
            <w:tcW w:w="4111" w:type="dxa"/>
            <w:vAlign w:val="center"/>
          </w:tcPr>
          <w:p w14:paraId="20A3AFF4" w14:textId="34B956CA"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1 khoản 2: Áp dụng đối với cơ quan, đơn vị, tổ chức, doanh nghiệp và cá nhân hoạt động KH,CN&amp;ĐMST có sử dụng NSNN.</w:t>
            </w:r>
          </w:p>
        </w:tc>
        <w:tc>
          <w:tcPr>
            <w:tcW w:w="3969" w:type="dxa"/>
          </w:tcPr>
          <w:p w14:paraId="5F06619E" w14:textId="45434EC3"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Mở rộng đối tượng áp dụng theo Luật KH,CN&amp;ĐMST năm 2025; bổ sung doanh nghiệp và các chủ thể đổi mới sáng tạo.</w:t>
            </w:r>
          </w:p>
        </w:tc>
      </w:tr>
      <w:tr w:rsidR="00EA6057" w:rsidRPr="00EA6057" w14:paraId="57AD8BAB" w14:textId="12DBD52D" w:rsidTr="00EA6057">
        <w:tc>
          <w:tcPr>
            <w:tcW w:w="851" w:type="dxa"/>
            <w:vAlign w:val="center"/>
          </w:tcPr>
          <w:p w14:paraId="73708F6B" w14:textId="42315E57"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3</w:t>
            </w:r>
          </w:p>
        </w:tc>
        <w:tc>
          <w:tcPr>
            <w:tcW w:w="5387" w:type="dxa"/>
            <w:vAlign w:val="center"/>
          </w:tcPr>
          <w:p w14:paraId="403AE42C" w14:textId="7AFCFEBA"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Không quy định</w:t>
            </w:r>
          </w:p>
        </w:tc>
        <w:tc>
          <w:tcPr>
            <w:tcW w:w="4111" w:type="dxa"/>
          </w:tcPr>
          <w:p w14:paraId="2E503FD5" w14:textId="56C51E94"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2. Nguyên tắc áp dụng định mức lập dự toán kinh phí.</w:t>
            </w:r>
          </w:p>
        </w:tc>
        <w:tc>
          <w:tcPr>
            <w:tcW w:w="3969" w:type="dxa"/>
          </w:tcPr>
          <w:p w14:paraId="168DCC9B" w14:textId="6332FB17"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Bổ sung mới để làm cơ sở áp dụng thống nhất mức chi, phù hợp quy định tại Thông tư 38/2025/TT-BKHCN.</w:t>
            </w:r>
          </w:p>
        </w:tc>
      </w:tr>
      <w:tr w:rsidR="00EA6057" w:rsidRPr="00EA6057" w14:paraId="0CFF5D44" w14:textId="58EF250F" w:rsidTr="00EA6057">
        <w:tc>
          <w:tcPr>
            <w:tcW w:w="851" w:type="dxa"/>
            <w:vAlign w:val="center"/>
          </w:tcPr>
          <w:p w14:paraId="6CE8EF88" w14:textId="35D78DB4"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4</w:t>
            </w:r>
          </w:p>
        </w:tc>
        <w:tc>
          <w:tcPr>
            <w:tcW w:w="5387" w:type="dxa"/>
            <w:vAlign w:val="center"/>
          </w:tcPr>
          <w:p w14:paraId="3F3A240D" w14:textId="2963FEE5" w:rsidR="00EA6057" w:rsidRPr="00EA6057" w:rsidRDefault="00EA6057" w:rsidP="00EA6057">
            <w:pPr>
              <w:spacing w:before="120" w:after="120"/>
              <w:rPr>
                <w:rFonts w:ascii="Times New Roman" w:hAnsi="Times New Roman" w:cs="Times New Roman"/>
                <w:b/>
                <w:sz w:val="28"/>
                <w:szCs w:val="28"/>
              </w:rPr>
            </w:pPr>
            <w:r w:rsidRPr="00EA6057">
              <w:rPr>
                <w:rFonts w:ascii="Times New Roman" w:hAnsi="Times New Roman" w:cs="Times New Roman"/>
                <w:sz w:val="28"/>
                <w:szCs w:val="28"/>
              </w:rPr>
              <w:t>Điều 2 NQ 30 quy định định mức lập dự toán thực hiện nhiệm vụ KH&amp;CN.</w:t>
            </w:r>
          </w:p>
        </w:tc>
        <w:tc>
          <w:tcPr>
            <w:tcW w:w="4111" w:type="dxa"/>
          </w:tcPr>
          <w:p w14:paraId="3485D313" w14:textId="7C365C1F"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3 dự thảo quy định một số nội dung chi cho công tác quản lý hoạt động KH,CN&amp;ĐMST theo Điều 3 Thông tư 38/2025/TT-BKHCN.</w:t>
            </w:r>
          </w:p>
        </w:tc>
        <w:tc>
          <w:tcPr>
            <w:tcW w:w="3969" w:type="dxa"/>
          </w:tcPr>
          <w:p w14:paraId="696D869D" w14:textId="4C7915A9"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chỉnh phạm vi quản lý từ nhiệm vụ KH&amp;CN sang quản lý hoạt động KH,CN&amp;ĐMST.</w:t>
            </w:r>
          </w:p>
        </w:tc>
      </w:tr>
      <w:tr w:rsidR="00EA6057" w:rsidRPr="00EA6057" w14:paraId="682079E7" w14:textId="29D230E5" w:rsidTr="00EA6057">
        <w:tc>
          <w:tcPr>
            <w:tcW w:w="851" w:type="dxa"/>
            <w:vAlign w:val="center"/>
          </w:tcPr>
          <w:p w14:paraId="1AE055B6" w14:textId="5C40CCBC"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5</w:t>
            </w:r>
          </w:p>
        </w:tc>
        <w:tc>
          <w:tcPr>
            <w:tcW w:w="5387" w:type="dxa"/>
            <w:vAlign w:val="center"/>
          </w:tcPr>
          <w:p w14:paraId="2B44F797" w14:textId="3CFB280E" w:rsidR="00EA6057" w:rsidRPr="00EA6057" w:rsidRDefault="00EA6057" w:rsidP="00EA6057">
            <w:pPr>
              <w:spacing w:before="120" w:after="120"/>
              <w:rPr>
                <w:rFonts w:ascii="Times New Roman" w:hAnsi="Times New Roman" w:cs="Times New Roman"/>
                <w:b/>
                <w:sz w:val="28"/>
                <w:szCs w:val="28"/>
              </w:rPr>
            </w:pPr>
            <w:r w:rsidRPr="00EA6057">
              <w:rPr>
                <w:rFonts w:ascii="Times New Roman" w:hAnsi="Times New Roman" w:cs="Times New Roman"/>
                <w:sz w:val="28"/>
                <w:szCs w:val="28"/>
              </w:rPr>
              <w:t xml:space="preserve">Điều 3 khoản 1 mục 1 điểm a: Chủ tịch Hội đồng xác định nhiệm vụ KH&amp;CN cấp tỉnh </w:t>
            </w:r>
            <w:r w:rsidRPr="00EA6057">
              <w:rPr>
                <w:rFonts w:ascii="Times New Roman" w:hAnsi="Times New Roman" w:cs="Times New Roman"/>
                <w:sz w:val="28"/>
                <w:szCs w:val="28"/>
              </w:rPr>
              <w:lastRenderedPageBreak/>
              <w:t>1.000.000 đồng/buổi</w:t>
            </w:r>
          </w:p>
        </w:tc>
        <w:tc>
          <w:tcPr>
            <w:tcW w:w="4111" w:type="dxa"/>
            <w:vAlign w:val="center"/>
          </w:tcPr>
          <w:p w14:paraId="0FDB38D8" w14:textId="0A3C802C"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lastRenderedPageBreak/>
              <w:t xml:space="preserve">Điều 4 khoản 1 mục 1 điểm a: Chủ tịch Hội đồng xét tài trợ, đặt hàng nhiệm vụ KH,CN&amp;ĐMST </w:t>
            </w:r>
            <w:r w:rsidRPr="00EA6057">
              <w:rPr>
                <w:rFonts w:ascii="Times New Roman" w:hAnsi="Times New Roman" w:cs="Times New Roman"/>
                <w:sz w:val="28"/>
                <w:szCs w:val="28"/>
              </w:rPr>
              <w:lastRenderedPageBreak/>
              <w:t>1.800.000</w:t>
            </w:r>
          </w:p>
        </w:tc>
        <w:tc>
          <w:tcPr>
            <w:tcW w:w="3969" w:type="dxa"/>
          </w:tcPr>
          <w:p w14:paraId="7FAA7E54" w14:textId="4E0DDEB7"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lastRenderedPageBreak/>
              <w:t xml:space="preserve">Kế thừa nội dung Hội đồng xác định nhiệm vụ, đồng thời mở rộng sang nhiệm vụ đổi mới sáng </w:t>
            </w:r>
            <w:r w:rsidRPr="00EA6057">
              <w:rPr>
                <w:rFonts w:ascii="Times New Roman" w:hAnsi="Times New Roman" w:cs="Times New Roman"/>
                <w:sz w:val="28"/>
                <w:szCs w:val="28"/>
              </w:rPr>
              <w:lastRenderedPageBreak/>
              <w:t>tạo theo Thông tư 38/2025/TT-BKHCN; điều chỉnh mức chi phù hợp quy định mới.</w:t>
            </w:r>
          </w:p>
        </w:tc>
      </w:tr>
      <w:tr w:rsidR="00EA6057" w:rsidRPr="00EA6057" w14:paraId="09452A19" w14:textId="4ABD651C" w:rsidTr="00EA6057">
        <w:tc>
          <w:tcPr>
            <w:tcW w:w="851" w:type="dxa"/>
            <w:vAlign w:val="center"/>
          </w:tcPr>
          <w:p w14:paraId="7FE539CA" w14:textId="0525FE4E"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lastRenderedPageBreak/>
              <w:t>6</w:t>
            </w:r>
          </w:p>
        </w:tc>
        <w:tc>
          <w:tcPr>
            <w:tcW w:w="5387" w:type="dxa"/>
          </w:tcPr>
          <w:p w14:paraId="17E6F15F" w14:textId="1D99B86D"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Phó Chủ tịch, thành viên Hội đồng: 700.000 đồng/buổi</w:t>
            </w:r>
          </w:p>
        </w:tc>
        <w:tc>
          <w:tcPr>
            <w:tcW w:w="4111" w:type="dxa"/>
          </w:tcPr>
          <w:p w14:paraId="11C68E13" w14:textId="2D44E904"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1.500.000 đồng/buổi</w:t>
            </w:r>
          </w:p>
        </w:tc>
        <w:tc>
          <w:tcPr>
            <w:tcW w:w="3969" w:type="dxa"/>
          </w:tcPr>
          <w:p w14:paraId="5EDCC21B" w14:textId="47AC19DE"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chỉnh mức chi theo khung quy định mới.</w:t>
            </w:r>
          </w:p>
        </w:tc>
      </w:tr>
      <w:tr w:rsidR="00EA6057" w:rsidRPr="00EA6057" w14:paraId="22485959" w14:textId="560F64F7" w:rsidTr="00EA6057">
        <w:tc>
          <w:tcPr>
            <w:tcW w:w="851" w:type="dxa"/>
            <w:vAlign w:val="center"/>
          </w:tcPr>
          <w:p w14:paraId="1966CEAC" w14:textId="30692434"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7</w:t>
            </w:r>
          </w:p>
        </w:tc>
        <w:tc>
          <w:tcPr>
            <w:tcW w:w="5387" w:type="dxa"/>
            <w:vAlign w:val="center"/>
          </w:tcPr>
          <w:p w14:paraId="1813670A" w14:textId="4C9EAE77" w:rsidR="00EA6057" w:rsidRPr="00EA6057" w:rsidRDefault="00EA6057" w:rsidP="00EA6057">
            <w:pPr>
              <w:spacing w:before="120" w:after="120"/>
              <w:rPr>
                <w:rFonts w:ascii="Times New Roman" w:hAnsi="Times New Roman" w:cs="Times New Roman"/>
                <w:b/>
                <w:sz w:val="28"/>
                <w:szCs w:val="28"/>
              </w:rPr>
            </w:pPr>
            <w:r w:rsidRPr="00EA6057">
              <w:rPr>
                <w:rFonts w:ascii="Times New Roman" w:hAnsi="Times New Roman" w:cs="Times New Roman"/>
                <w:sz w:val="28"/>
                <w:szCs w:val="28"/>
              </w:rPr>
              <w:t>Thư ký khoa học: 250.000 đồng/buổi</w:t>
            </w:r>
          </w:p>
        </w:tc>
        <w:tc>
          <w:tcPr>
            <w:tcW w:w="4111" w:type="dxa"/>
            <w:vAlign w:val="center"/>
          </w:tcPr>
          <w:p w14:paraId="3B64BA35" w14:textId="7E97E152"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300.000 đồng/buổi</w:t>
            </w:r>
          </w:p>
        </w:tc>
        <w:tc>
          <w:tcPr>
            <w:tcW w:w="3969" w:type="dxa"/>
          </w:tcPr>
          <w:p w14:paraId="27A14BCC" w14:textId="23ABFBAE"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chỉnh tăng phù hợp mặt bằng chi hiện hành.</w:t>
            </w:r>
          </w:p>
        </w:tc>
      </w:tr>
      <w:tr w:rsidR="00EA6057" w:rsidRPr="00EA6057" w14:paraId="5F3766C6" w14:textId="71E59272" w:rsidTr="00EA6057">
        <w:tc>
          <w:tcPr>
            <w:tcW w:w="851" w:type="dxa"/>
            <w:vAlign w:val="center"/>
          </w:tcPr>
          <w:p w14:paraId="66342F93" w14:textId="17E3037A"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8</w:t>
            </w:r>
          </w:p>
        </w:tc>
        <w:tc>
          <w:tcPr>
            <w:tcW w:w="5387" w:type="dxa"/>
          </w:tcPr>
          <w:p w14:paraId="7B120552" w14:textId="7B091ACF"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Thư ký hành chính: 250.000 đồng/buổi</w:t>
            </w:r>
          </w:p>
        </w:tc>
        <w:tc>
          <w:tcPr>
            <w:tcW w:w="4111" w:type="dxa"/>
          </w:tcPr>
          <w:p w14:paraId="7D6322B5" w14:textId="27567FF2"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300.000 đồng/buổi</w:t>
            </w:r>
          </w:p>
        </w:tc>
        <w:tc>
          <w:tcPr>
            <w:tcW w:w="3969" w:type="dxa"/>
          </w:tcPr>
          <w:p w14:paraId="0F30083E" w14:textId="3C772D6C"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chỉnh tăng theo Thông tư 38.</w:t>
            </w:r>
          </w:p>
        </w:tc>
      </w:tr>
      <w:tr w:rsidR="00EA6057" w:rsidRPr="00EA6057" w14:paraId="2A2FF9ED" w14:textId="40B8EA7F" w:rsidTr="00EA6057">
        <w:tc>
          <w:tcPr>
            <w:tcW w:w="851" w:type="dxa"/>
            <w:vAlign w:val="center"/>
          </w:tcPr>
          <w:p w14:paraId="2EF89600" w14:textId="43165F27"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9</w:t>
            </w:r>
          </w:p>
        </w:tc>
        <w:tc>
          <w:tcPr>
            <w:tcW w:w="5387" w:type="dxa"/>
          </w:tcPr>
          <w:p w14:paraId="119F45DC" w14:textId="4C4D299E"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Đại biểu tham dự: 200.000 đồng/buổi</w:t>
            </w:r>
          </w:p>
        </w:tc>
        <w:tc>
          <w:tcPr>
            <w:tcW w:w="4111" w:type="dxa"/>
          </w:tcPr>
          <w:p w14:paraId="2647C3D1" w14:textId="4742730E"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200.000 đồng/buổi</w:t>
            </w:r>
          </w:p>
        </w:tc>
        <w:tc>
          <w:tcPr>
            <w:tcW w:w="3969" w:type="dxa"/>
          </w:tcPr>
          <w:p w14:paraId="1108D7EA" w14:textId="5B44C610"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Giữ nguyên mức chi.</w:t>
            </w:r>
          </w:p>
        </w:tc>
      </w:tr>
      <w:tr w:rsidR="00EA6057" w:rsidRPr="00EA6057" w14:paraId="68181420" w14:textId="1B4FF451" w:rsidTr="00EA6057">
        <w:tc>
          <w:tcPr>
            <w:tcW w:w="851" w:type="dxa"/>
            <w:vAlign w:val="center"/>
          </w:tcPr>
          <w:p w14:paraId="7260F1C0" w14:textId="786F35D1"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10</w:t>
            </w:r>
          </w:p>
        </w:tc>
        <w:tc>
          <w:tcPr>
            <w:tcW w:w="5387" w:type="dxa"/>
            <w:vAlign w:val="center"/>
          </w:tcPr>
          <w:p w14:paraId="0C274146" w14:textId="5D70833E" w:rsidR="00EA6057" w:rsidRPr="00EA6057" w:rsidRDefault="00EA6057" w:rsidP="00EA6057">
            <w:pPr>
              <w:spacing w:before="120" w:after="120"/>
              <w:rPr>
                <w:rFonts w:ascii="Times New Roman" w:hAnsi="Times New Roman" w:cs="Times New Roman"/>
                <w:b/>
                <w:sz w:val="28"/>
                <w:szCs w:val="28"/>
              </w:rPr>
            </w:pPr>
            <w:r w:rsidRPr="00EA6057">
              <w:rPr>
                <w:rFonts w:ascii="Times New Roman" w:hAnsi="Times New Roman" w:cs="Times New Roman"/>
                <w:sz w:val="28"/>
                <w:szCs w:val="28"/>
              </w:rPr>
              <w:t>Nhận xét của thành viên Hội đồng: 300.000 đồng/phiếu</w:t>
            </w:r>
          </w:p>
        </w:tc>
        <w:tc>
          <w:tcPr>
            <w:tcW w:w="4111" w:type="dxa"/>
            <w:vAlign w:val="center"/>
          </w:tcPr>
          <w:p w14:paraId="58FFCAE8" w14:textId="4067C627"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700.000 đồng/phiếu</w:t>
            </w:r>
          </w:p>
        </w:tc>
        <w:tc>
          <w:tcPr>
            <w:tcW w:w="3969" w:type="dxa"/>
          </w:tcPr>
          <w:p w14:paraId="655C85C4" w14:textId="68299DD5"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chỉnh phù hợp yêu cầu chuyên môn cao hơn của hoạt động KH,CN&amp;ĐMST.</w:t>
            </w:r>
          </w:p>
        </w:tc>
      </w:tr>
      <w:tr w:rsidR="00EA6057" w:rsidRPr="00EA6057" w14:paraId="68A7718A" w14:textId="29848ED7" w:rsidTr="00EA6057">
        <w:tc>
          <w:tcPr>
            <w:tcW w:w="851" w:type="dxa"/>
            <w:vAlign w:val="center"/>
          </w:tcPr>
          <w:p w14:paraId="6088834F" w14:textId="1F98E227"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11</w:t>
            </w:r>
          </w:p>
        </w:tc>
        <w:tc>
          <w:tcPr>
            <w:tcW w:w="5387" w:type="dxa"/>
            <w:vAlign w:val="center"/>
          </w:tcPr>
          <w:p w14:paraId="702251A7" w14:textId="4728A99D" w:rsidR="00EA6057" w:rsidRPr="00EA6057" w:rsidRDefault="00EA6057" w:rsidP="00EA6057">
            <w:pPr>
              <w:spacing w:before="120" w:after="120"/>
              <w:rPr>
                <w:rFonts w:ascii="Times New Roman" w:hAnsi="Times New Roman" w:cs="Times New Roman"/>
                <w:b/>
                <w:sz w:val="28"/>
                <w:szCs w:val="28"/>
              </w:rPr>
            </w:pPr>
            <w:r w:rsidRPr="00EA6057">
              <w:rPr>
                <w:rFonts w:ascii="Times New Roman" w:eastAsia="Times New Roman" w:hAnsi="Times New Roman" w:cs="Times New Roman"/>
                <w:sz w:val="28"/>
                <w:szCs w:val="28"/>
              </w:rPr>
              <w:t>Nhận xét phản biện: 500.000 đồng/phiếu</w:t>
            </w:r>
          </w:p>
        </w:tc>
        <w:tc>
          <w:tcPr>
            <w:tcW w:w="4111" w:type="dxa"/>
            <w:vAlign w:val="center"/>
          </w:tcPr>
          <w:p w14:paraId="6FA35958" w14:textId="7DFFD5C1"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eastAsia="Times New Roman" w:hAnsi="Times New Roman" w:cs="Times New Roman"/>
                <w:sz w:val="28"/>
                <w:szCs w:val="28"/>
              </w:rPr>
              <w:t>1.000.000 đồng/phiếu</w:t>
            </w:r>
          </w:p>
        </w:tc>
        <w:tc>
          <w:tcPr>
            <w:tcW w:w="3969" w:type="dxa"/>
            <w:vAlign w:val="center"/>
          </w:tcPr>
          <w:p w14:paraId="5D689164" w14:textId="5AB858A1"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eastAsia="Times New Roman" w:hAnsi="Times New Roman" w:cs="Times New Roman"/>
                <w:sz w:val="28"/>
                <w:szCs w:val="28"/>
              </w:rPr>
              <w:t>Điều chỉnh theo khung mức chi tối đa của Bộ KH&amp;CN.</w:t>
            </w:r>
          </w:p>
        </w:tc>
      </w:tr>
      <w:tr w:rsidR="00EA6057" w:rsidRPr="00EA6057" w14:paraId="039B888C" w14:textId="0F9E8784" w:rsidTr="00EA6057">
        <w:tc>
          <w:tcPr>
            <w:tcW w:w="851" w:type="dxa"/>
            <w:vAlign w:val="center"/>
          </w:tcPr>
          <w:p w14:paraId="37854675" w14:textId="6D2CFAB8"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12</w:t>
            </w:r>
          </w:p>
        </w:tc>
        <w:tc>
          <w:tcPr>
            <w:tcW w:w="5387" w:type="dxa"/>
            <w:vAlign w:val="center"/>
          </w:tcPr>
          <w:p w14:paraId="0EECC7BB" w14:textId="719B43B3"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Chủ tịch Hội đồng xây dựng yêu cầu đặt hàng: 500.000 đồng/nhiệm vụ</w:t>
            </w:r>
          </w:p>
        </w:tc>
        <w:tc>
          <w:tcPr>
            <w:tcW w:w="4111" w:type="dxa"/>
            <w:vAlign w:val="center"/>
          </w:tcPr>
          <w:p w14:paraId="2CB70084" w14:textId="6C8128BB"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700.000 đồng/nhiệm vụ</w:t>
            </w:r>
          </w:p>
        </w:tc>
        <w:tc>
          <w:tcPr>
            <w:tcW w:w="3969" w:type="dxa"/>
            <w:vAlign w:val="center"/>
          </w:tcPr>
          <w:p w14:paraId="4FC192CB" w14:textId="32046DC5"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Điều chỉnh tăng mức chi.</w:t>
            </w:r>
          </w:p>
        </w:tc>
      </w:tr>
      <w:tr w:rsidR="00EA6057" w:rsidRPr="00EA6057" w14:paraId="2FD60A60" w14:textId="5029464B" w:rsidTr="00EA6057">
        <w:tc>
          <w:tcPr>
            <w:tcW w:w="851" w:type="dxa"/>
            <w:vAlign w:val="center"/>
          </w:tcPr>
          <w:p w14:paraId="140B22FE" w14:textId="6EF3DE54"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13</w:t>
            </w:r>
          </w:p>
        </w:tc>
        <w:tc>
          <w:tcPr>
            <w:tcW w:w="5387" w:type="dxa"/>
            <w:vAlign w:val="center"/>
          </w:tcPr>
          <w:p w14:paraId="0A4A1C8E" w14:textId="1CA52C76"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eastAsia="Times New Roman" w:hAnsi="Times New Roman" w:cs="Times New Roman"/>
                <w:sz w:val="28"/>
                <w:szCs w:val="28"/>
              </w:rPr>
              <w:t>Thành viên xây dựng yêu cầu đặt hàng: 300.000 đồng/nhiệm vụ</w:t>
            </w:r>
          </w:p>
        </w:tc>
        <w:tc>
          <w:tcPr>
            <w:tcW w:w="4111" w:type="dxa"/>
            <w:vAlign w:val="center"/>
          </w:tcPr>
          <w:p w14:paraId="5836227D" w14:textId="07A76CBC"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eastAsia="Times New Roman" w:hAnsi="Times New Roman" w:cs="Times New Roman"/>
                <w:sz w:val="28"/>
                <w:szCs w:val="28"/>
              </w:rPr>
              <w:t>500.000 đồng/nhiệm vụ</w:t>
            </w:r>
          </w:p>
        </w:tc>
        <w:tc>
          <w:tcPr>
            <w:tcW w:w="3969" w:type="dxa"/>
            <w:vAlign w:val="center"/>
          </w:tcPr>
          <w:p w14:paraId="5A7A8F33" w14:textId="3D030ECF"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eastAsia="Times New Roman" w:hAnsi="Times New Roman" w:cs="Times New Roman"/>
                <w:sz w:val="28"/>
                <w:szCs w:val="28"/>
              </w:rPr>
              <w:t>Điều chỉnh tăng mức chi.</w:t>
            </w:r>
          </w:p>
        </w:tc>
      </w:tr>
      <w:tr w:rsidR="00EA6057" w:rsidRPr="00EA6057" w14:paraId="580ADD37" w14:textId="2AD47D35" w:rsidTr="00EA6057">
        <w:tc>
          <w:tcPr>
            <w:tcW w:w="851" w:type="dxa"/>
            <w:tcBorders>
              <w:right w:val="single" w:sz="4" w:space="0" w:color="auto"/>
            </w:tcBorders>
            <w:vAlign w:val="center"/>
          </w:tcPr>
          <w:p w14:paraId="66113CDC" w14:textId="395C02FA"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lastRenderedPageBreak/>
              <w:t>14</w:t>
            </w:r>
          </w:p>
        </w:tc>
        <w:tc>
          <w:tcPr>
            <w:tcW w:w="5387" w:type="dxa"/>
            <w:tcBorders>
              <w:right w:val="single" w:sz="4" w:space="0" w:color="auto"/>
            </w:tcBorders>
            <w:vAlign w:val="center"/>
          </w:tcPr>
          <w:p w14:paraId="3E58BF2E" w14:textId="19EAFA41"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eastAsia="Times New Roman" w:hAnsi="Times New Roman" w:cs="Times New Roman"/>
                <w:sz w:val="28"/>
                <w:szCs w:val="28"/>
              </w:rPr>
              <w:t>Điều 3 khoản 1 mục 2: Hội đồng tuyển chọn, giao trực tiếp nhiệm vụ KH&amp;CN</w:t>
            </w:r>
          </w:p>
        </w:tc>
        <w:tc>
          <w:tcPr>
            <w:tcW w:w="4111" w:type="dxa"/>
            <w:tcBorders>
              <w:left w:val="single" w:sz="4" w:space="0" w:color="auto"/>
              <w:right w:val="single" w:sz="4" w:space="0" w:color="auto"/>
            </w:tcBorders>
            <w:vAlign w:val="center"/>
          </w:tcPr>
          <w:p w14:paraId="6DAB19D4" w14:textId="668F4363"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eastAsia="Times New Roman" w:hAnsi="Times New Roman" w:cs="Times New Roman"/>
                <w:sz w:val="28"/>
                <w:szCs w:val="28"/>
              </w:rPr>
              <w:t>Điều 4 khoản 1 mục 1: Hội đồng xét tài trợ, đặt hàng nhiệm vụ KH,CN&amp;ĐMST</w:t>
            </w:r>
          </w:p>
        </w:tc>
        <w:tc>
          <w:tcPr>
            <w:tcW w:w="3969" w:type="dxa"/>
            <w:tcBorders>
              <w:left w:val="single" w:sz="4" w:space="0" w:color="auto"/>
            </w:tcBorders>
            <w:vAlign w:val="center"/>
          </w:tcPr>
          <w:p w14:paraId="34D42063" w14:textId="21191A83"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eastAsia="Times New Roman" w:hAnsi="Times New Roman" w:cs="Times New Roman"/>
                <w:sz w:val="28"/>
                <w:szCs w:val="28"/>
              </w:rPr>
              <w:t>Kế thừa và mở rộng phạm vi sang hoạt động đổi mới sáng tạo.</w:t>
            </w:r>
          </w:p>
        </w:tc>
      </w:tr>
      <w:tr w:rsidR="00EA6057" w:rsidRPr="00EA6057" w14:paraId="23AE52E4" w14:textId="48EB5067" w:rsidTr="00EA6057">
        <w:tc>
          <w:tcPr>
            <w:tcW w:w="851" w:type="dxa"/>
            <w:tcBorders>
              <w:right w:val="single" w:sz="4" w:space="0" w:color="auto"/>
            </w:tcBorders>
            <w:vAlign w:val="center"/>
          </w:tcPr>
          <w:p w14:paraId="6FDDF97A" w14:textId="5B1ADC7E"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15</w:t>
            </w:r>
          </w:p>
        </w:tc>
        <w:tc>
          <w:tcPr>
            <w:tcW w:w="5387" w:type="dxa"/>
            <w:tcBorders>
              <w:right w:val="single" w:sz="4" w:space="0" w:color="auto"/>
            </w:tcBorders>
            <w:vAlign w:val="center"/>
          </w:tcPr>
          <w:p w14:paraId="31B8B13C" w14:textId="3089C3DD"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Chủ tịch Hội đồng tuyển chọn: 1.300.000 đồng/buổi</w:t>
            </w:r>
          </w:p>
        </w:tc>
        <w:tc>
          <w:tcPr>
            <w:tcW w:w="4111" w:type="dxa"/>
            <w:tcBorders>
              <w:left w:val="single" w:sz="4" w:space="0" w:color="auto"/>
              <w:right w:val="single" w:sz="4" w:space="0" w:color="auto"/>
            </w:tcBorders>
            <w:vAlign w:val="center"/>
          </w:tcPr>
          <w:p w14:paraId="157424A4" w14:textId="302BB2F4"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1.800.000 đồng/buổi</w:t>
            </w:r>
          </w:p>
        </w:tc>
        <w:tc>
          <w:tcPr>
            <w:tcW w:w="3969" w:type="dxa"/>
            <w:tcBorders>
              <w:left w:val="single" w:sz="4" w:space="0" w:color="auto"/>
            </w:tcBorders>
            <w:vAlign w:val="center"/>
          </w:tcPr>
          <w:p w14:paraId="0678627A" w14:textId="177D00ED"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Điều chỉnh theo Thông tư 38/2025/TT-BKHCN.</w:t>
            </w:r>
          </w:p>
        </w:tc>
      </w:tr>
      <w:tr w:rsidR="00EA6057" w:rsidRPr="00EA6057" w14:paraId="286CA540" w14:textId="53669ABE" w:rsidTr="00EA6057">
        <w:tc>
          <w:tcPr>
            <w:tcW w:w="851" w:type="dxa"/>
            <w:vAlign w:val="center"/>
          </w:tcPr>
          <w:p w14:paraId="146BBD97" w14:textId="3199461C"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16</w:t>
            </w:r>
          </w:p>
        </w:tc>
        <w:tc>
          <w:tcPr>
            <w:tcW w:w="5387" w:type="dxa"/>
            <w:vAlign w:val="center"/>
          </w:tcPr>
          <w:p w14:paraId="04551384" w14:textId="60237AFC"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Thành viên Hội đồng: 1.000.000 đồng/buổi</w:t>
            </w:r>
          </w:p>
        </w:tc>
        <w:tc>
          <w:tcPr>
            <w:tcW w:w="4111" w:type="dxa"/>
            <w:vAlign w:val="center"/>
          </w:tcPr>
          <w:p w14:paraId="4EDA5145" w14:textId="4C31F514"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1.500.000 đồng/buổi</w:t>
            </w:r>
          </w:p>
        </w:tc>
        <w:tc>
          <w:tcPr>
            <w:tcW w:w="3969" w:type="dxa"/>
            <w:vAlign w:val="center"/>
          </w:tcPr>
          <w:p w14:paraId="224B3C3F" w14:textId="3393F0CF"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Điều chỉnh tăng mức chi.</w:t>
            </w:r>
          </w:p>
        </w:tc>
      </w:tr>
      <w:tr w:rsidR="00EA6057" w:rsidRPr="00EA6057" w14:paraId="36225D48" w14:textId="3B5312D5" w:rsidTr="00EA6057">
        <w:tc>
          <w:tcPr>
            <w:tcW w:w="851" w:type="dxa"/>
            <w:vAlign w:val="center"/>
          </w:tcPr>
          <w:p w14:paraId="4BF01B1C" w14:textId="4D8A084B"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17</w:t>
            </w:r>
          </w:p>
        </w:tc>
        <w:tc>
          <w:tcPr>
            <w:tcW w:w="5387" w:type="dxa"/>
            <w:vAlign w:val="center"/>
          </w:tcPr>
          <w:p w14:paraId="554CE1D4" w14:textId="436D0FF2"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Nhận xét thành viên: 500.000 đồng/phiếu</w:t>
            </w:r>
          </w:p>
        </w:tc>
        <w:tc>
          <w:tcPr>
            <w:tcW w:w="4111" w:type="dxa"/>
            <w:vAlign w:val="center"/>
          </w:tcPr>
          <w:p w14:paraId="018067FF" w14:textId="4A098391"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700.000 đồng/phiếu</w:t>
            </w:r>
          </w:p>
        </w:tc>
        <w:tc>
          <w:tcPr>
            <w:tcW w:w="3969" w:type="dxa"/>
            <w:vAlign w:val="center"/>
          </w:tcPr>
          <w:p w14:paraId="7D0635F7" w14:textId="6A09248B"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eastAsia="Times New Roman" w:hAnsi="Times New Roman" w:cs="Times New Roman"/>
                <w:sz w:val="28"/>
                <w:szCs w:val="28"/>
              </w:rPr>
              <w:t>Điều chỉnh tăng mức chi.</w:t>
            </w:r>
          </w:p>
        </w:tc>
      </w:tr>
      <w:tr w:rsidR="00EA6057" w:rsidRPr="00EA6057" w14:paraId="0E5D1325" w14:textId="72513498" w:rsidTr="00EA6057">
        <w:tc>
          <w:tcPr>
            <w:tcW w:w="851" w:type="dxa"/>
            <w:vAlign w:val="center"/>
          </w:tcPr>
          <w:p w14:paraId="3408D67B" w14:textId="7BCBE4A6"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18</w:t>
            </w:r>
          </w:p>
        </w:tc>
        <w:tc>
          <w:tcPr>
            <w:tcW w:w="5387" w:type="dxa"/>
            <w:vAlign w:val="center"/>
          </w:tcPr>
          <w:p w14:paraId="5218FAD5" w14:textId="580FB3AE"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eastAsia="Times New Roman" w:hAnsi="Times New Roman" w:cs="Times New Roman"/>
                <w:sz w:val="28"/>
                <w:szCs w:val="28"/>
              </w:rPr>
              <w:t>Nhận xét phản biện: 700.000 đồng/phiếu</w:t>
            </w:r>
          </w:p>
        </w:tc>
        <w:tc>
          <w:tcPr>
            <w:tcW w:w="4111" w:type="dxa"/>
            <w:vAlign w:val="center"/>
          </w:tcPr>
          <w:p w14:paraId="235BA887" w14:textId="6D6D1252"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eastAsia="Times New Roman" w:hAnsi="Times New Roman" w:cs="Times New Roman"/>
                <w:sz w:val="28"/>
                <w:szCs w:val="28"/>
              </w:rPr>
              <w:t>1.000.000 đồng/phiếu</w:t>
            </w:r>
          </w:p>
        </w:tc>
        <w:tc>
          <w:tcPr>
            <w:tcW w:w="3969" w:type="dxa"/>
            <w:vAlign w:val="center"/>
          </w:tcPr>
          <w:p w14:paraId="305BB2C4" w14:textId="0C64B426"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eastAsia="Times New Roman" w:hAnsi="Times New Roman" w:cs="Times New Roman"/>
                <w:sz w:val="28"/>
                <w:szCs w:val="28"/>
              </w:rPr>
              <w:t>Điều chỉnh tăng mức chi.</w:t>
            </w:r>
          </w:p>
        </w:tc>
      </w:tr>
      <w:tr w:rsidR="00EA6057" w:rsidRPr="00EA6057" w14:paraId="3671CDC9" w14:textId="48E5D34F" w:rsidTr="00EA6057">
        <w:tc>
          <w:tcPr>
            <w:tcW w:w="851" w:type="dxa"/>
            <w:vAlign w:val="center"/>
          </w:tcPr>
          <w:p w14:paraId="3FC391AA" w14:textId="0E5FE010"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19</w:t>
            </w:r>
          </w:p>
        </w:tc>
        <w:tc>
          <w:tcPr>
            <w:tcW w:w="5387" w:type="dxa"/>
            <w:vAlign w:val="center"/>
          </w:tcPr>
          <w:p w14:paraId="4CB800BF" w14:textId="0F237984"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Không quy định</w:t>
            </w:r>
          </w:p>
        </w:tc>
        <w:tc>
          <w:tcPr>
            <w:tcW w:w="4111" w:type="dxa"/>
          </w:tcPr>
          <w:p w14:paraId="4A017EFF" w14:textId="5EF97D2A"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4 khoản 1 mục 2: Hội đồng điều chỉnh hợp đồng giao nhiệm vụ KH,CN&amp;ĐMST</w:t>
            </w:r>
          </w:p>
        </w:tc>
        <w:tc>
          <w:tcPr>
            <w:tcW w:w="3969" w:type="dxa"/>
          </w:tcPr>
          <w:p w14:paraId="33E849D4" w14:textId="2443A7A6"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Bổ sung mới theo Thông tư 38/2025/TT-BKHCN.</w:t>
            </w:r>
          </w:p>
        </w:tc>
      </w:tr>
      <w:tr w:rsidR="00EA6057" w:rsidRPr="00EA6057" w14:paraId="22E6DAD9" w14:textId="71651278" w:rsidTr="00EA6057">
        <w:tc>
          <w:tcPr>
            <w:tcW w:w="851" w:type="dxa"/>
            <w:vAlign w:val="center"/>
          </w:tcPr>
          <w:p w14:paraId="105DECD8" w14:textId="52835AA7"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20</w:t>
            </w:r>
          </w:p>
        </w:tc>
        <w:tc>
          <w:tcPr>
            <w:tcW w:w="5387" w:type="dxa"/>
            <w:vAlign w:val="center"/>
          </w:tcPr>
          <w:p w14:paraId="7E53C938" w14:textId="1439A039"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Không quy định</w:t>
            </w:r>
          </w:p>
        </w:tc>
        <w:tc>
          <w:tcPr>
            <w:tcW w:w="4111" w:type="dxa"/>
          </w:tcPr>
          <w:p w14:paraId="6F5B76BB" w14:textId="01C45F3C"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Chủ tịch Hội đồng điều chỉnh hợp đồng: 1.500.000 đồng/buổi</w:t>
            </w:r>
          </w:p>
        </w:tc>
        <w:tc>
          <w:tcPr>
            <w:tcW w:w="3969" w:type="dxa"/>
            <w:vAlign w:val="center"/>
          </w:tcPr>
          <w:p w14:paraId="4D82783C" w14:textId="658640EF"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Bổ sung mới.</w:t>
            </w:r>
          </w:p>
        </w:tc>
      </w:tr>
      <w:tr w:rsidR="00EA6057" w:rsidRPr="00EA6057" w14:paraId="3B71F910" w14:textId="214B6C57" w:rsidTr="00EA6057">
        <w:tc>
          <w:tcPr>
            <w:tcW w:w="851" w:type="dxa"/>
            <w:vAlign w:val="center"/>
          </w:tcPr>
          <w:p w14:paraId="78A8C5E7" w14:textId="6A75FD3F"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21</w:t>
            </w:r>
          </w:p>
        </w:tc>
        <w:tc>
          <w:tcPr>
            <w:tcW w:w="5387" w:type="dxa"/>
            <w:vAlign w:val="center"/>
          </w:tcPr>
          <w:p w14:paraId="7DBD2B12" w14:textId="4B81445C"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Không quy định</w:t>
            </w:r>
          </w:p>
        </w:tc>
        <w:tc>
          <w:tcPr>
            <w:tcW w:w="4111" w:type="dxa"/>
          </w:tcPr>
          <w:p w14:paraId="5D2A50FE" w14:textId="39285B88"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Thành viên Hội đồng điều chỉnh hợp đồng: 1.000.000 đồng/buổi</w:t>
            </w:r>
          </w:p>
        </w:tc>
        <w:tc>
          <w:tcPr>
            <w:tcW w:w="3969" w:type="dxa"/>
            <w:vAlign w:val="center"/>
          </w:tcPr>
          <w:p w14:paraId="5C4C4FA4" w14:textId="77777777" w:rsidR="00EA6057" w:rsidRPr="00EA6057" w:rsidRDefault="00EA6057" w:rsidP="00EA6057">
            <w:pPr>
              <w:spacing w:before="120" w:after="120"/>
              <w:jc w:val="both"/>
              <w:rPr>
                <w:rFonts w:ascii="Times New Roman" w:hAnsi="Times New Roman" w:cs="Times New Roman"/>
                <w:sz w:val="28"/>
                <w:szCs w:val="28"/>
              </w:rPr>
            </w:pPr>
          </w:p>
          <w:p w14:paraId="65881793" w14:textId="76981B3E"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Bổ sung mới</w:t>
            </w:r>
          </w:p>
        </w:tc>
      </w:tr>
      <w:tr w:rsidR="00EA6057" w:rsidRPr="00EA6057" w14:paraId="38E88A3A" w14:textId="30FD57AB" w:rsidTr="00EA6057">
        <w:tc>
          <w:tcPr>
            <w:tcW w:w="851" w:type="dxa"/>
            <w:vAlign w:val="center"/>
          </w:tcPr>
          <w:p w14:paraId="7A645419" w14:textId="445A2377"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22</w:t>
            </w:r>
          </w:p>
        </w:tc>
        <w:tc>
          <w:tcPr>
            <w:tcW w:w="5387" w:type="dxa"/>
          </w:tcPr>
          <w:p w14:paraId="75FB3DBD" w14:textId="510F7581"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3 khoản 1 mục 3: Hội đồng nghiệm thu nhiệm vụ KH&amp;CN</w:t>
            </w:r>
          </w:p>
        </w:tc>
        <w:tc>
          <w:tcPr>
            <w:tcW w:w="4111" w:type="dxa"/>
          </w:tcPr>
          <w:p w14:paraId="427C62D6" w14:textId="591BB792"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4 khoản 1 mục 3: Hội đồng đánh giá khả năng ứng dụng kết quả nhiệm vụ KH,CN&amp;ĐMST</w:t>
            </w:r>
          </w:p>
        </w:tc>
        <w:tc>
          <w:tcPr>
            <w:tcW w:w="3969" w:type="dxa"/>
          </w:tcPr>
          <w:p w14:paraId="0218F8DE" w14:textId="175E307C"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Chuyển từ đánh giá nghiệm thu sang đánh giá khả năng ứng dụng kết quả nghiên cứu.</w:t>
            </w:r>
          </w:p>
        </w:tc>
      </w:tr>
      <w:tr w:rsidR="00EA6057" w:rsidRPr="00EA6057" w14:paraId="04BBCF7D" w14:textId="1310038A" w:rsidTr="00EA6057">
        <w:tc>
          <w:tcPr>
            <w:tcW w:w="851" w:type="dxa"/>
            <w:vAlign w:val="center"/>
          </w:tcPr>
          <w:p w14:paraId="563D537D" w14:textId="1376D3BA"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lastRenderedPageBreak/>
              <w:t>23</w:t>
            </w:r>
          </w:p>
        </w:tc>
        <w:tc>
          <w:tcPr>
            <w:tcW w:w="5387" w:type="dxa"/>
          </w:tcPr>
          <w:p w14:paraId="09B8BD60" w14:textId="50A52F68"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Chủ tịch Hội đồng nghiệm thu: 1.300.000 đồng/buổi</w:t>
            </w:r>
          </w:p>
        </w:tc>
        <w:tc>
          <w:tcPr>
            <w:tcW w:w="4111" w:type="dxa"/>
            <w:vAlign w:val="center"/>
          </w:tcPr>
          <w:p w14:paraId="0F45D2FC" w14:textId="6C188265"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1.800.000 đồng/buổi</w:t>
            </w:r>
          </w:p>
        </w:tc>
        <w:tc>
          <w:tcPr>
            <w:tcW w:w="3969" w:type="dxa"/>
            <w:vAlign w:val="center"/>
          </w:tcPr>
          <w:p w14:paraId="68648306" w14:textId="034F3FD3"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chỉnh mức chi.</w:t>
            </w:r>
          </w:p>
        </w:tc>
      </w:tr>
      <w:tr w:rsidR="00EA6057" w:rsidRPr="00EA6057" w14:paraId="514ABC02" w14:textId="73036F5E" w:rsidTr="00EA6057">
        <w:tc>
          <w:tcPr>
            <w:tcW w:w="851" w:type="dxa"/>
            <w:vAlign w:val="center"/>
          </w:tcPr>
          <w:p w14:paraId="494C8CD3" w14:textId="1250411F"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24</w:t>
            </w:r>
          </w:p>
        </w:tc>
        <w:tc>
          <w:tcPr>
            <w:tcW w:w="5387" w:type="dxa"/>
          </w:tcPr>
          <w:p w14:paraId="18C35AA4" w14:textId="2BDEEFF9"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Thành viên Hội đồng: 1.000.000 đồng/buổi</w:t>
            </w:r>
          </w:p>
        </w:tc>
        <w:tc>
          <w:tcPr>
            <w:tcW w:w="4111" w:type="dxa"/>
          </w:tcPr>
          <w:p w14:paraId="1978FB3B" w14:textId="22A8E64C"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1.500.000 đồng/buổi</w:t>
            </w:r>
          </w:p>
        </w:tc>
        <w:tc>
          <w:tcPr>
            <w:tcW w:w="3969" w:type="dxa"/>
          </w:tcPr>
          <w:p w14:paraId="65D46275" w14:textId="4497A5FC"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chỉnh mức chi.</w:t>
            </w:r>
          </w:p>
        </w:tc>
      </w:tr>
      <w:tr w:rsidR="00EA6057" w:rsidRPr="00EA6057" w14:paraId="5DBA8E28" w14:textId="1FD1FF58" w:rsidTr="00EA6057">
        <w:tc>
          <w:tcPr>
            <w:tcW w:w="851" w:type="dxa"/>
            <w:vAlign w:val="center"/>
          </w:tcPr>
          <w:p w14:paraId="59318AC2" w14:textId="08C78D1E"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25</w:t>
            </w:r>
          </w:p>
        </w:tc>
        <w:tc>
          <w:tcPr>
            <w:tcW w:w="5387" w:type="dxa"/>
          </w:tcPr>
          <w:p w14:paraId="5CA50F37" w14:textId="6A7D5FD5"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Nhận xét thành viên: 500.000 đồng/phiếu</w:t>
            </w:r>
          </w:p>
        </w:tc>
        <w:tc>
          <w:tcPr>
            <w:tcW w:w="4111" w:type="dxa"/>
          </w:tcPr>
          <w:p w14:paraId="4345898C" w14:textId="66D26776"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700.000 đồng/phiếu</w:t>
            </w:r>
          </w:p>
        </w:tc>
        <w:tc>
          <w:tcPr>
            <w:tcW w:w="3969" w:type="dxa"/>
          </w:tcPr>
          <w:p w14:paraId="563D8877" w14:textId="30D80817"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chỉnh mức chi.</w:t>
            </w:r>
          </w:p>
        </w:tc>
      </w:tr>
      <w:tr w:rsidR="00EA6057" w:rsidRPr="00EA6057" w14:paraId="241720E8" w14:textId="11A93199" w:rsidTr="00EA6057">
        <w:tc>
          <w:tcPr>
            <w:tcW w:w="851" w:type="dxa"/>
            <w:vAlign w:val="center"/>
          </w:tcPr>
          <w:p w14:paraId="1DC202F6" w14:textId="6ABB153F"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26</w:t>
            </w:r>
          </w:p>
        </w:tc>
        <w:tc>
          <w:tcPr>
            <w:tcW w:w="5387" w:type="dxa"/>
          </w:tcPr>
          <w:p w14:paraId="36F84A8B" w14:textId="262B0940"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Nhận xét phản biện: 700.000 đồng/phiếu</w:t>
            </w:r>
          </w:p>
        </w:tc>
        <w:tc>
          <w:tcPr>
            <w:tcW w:w="4111" w:type="dxa"/>
          </w:tcPr>
          <w:p w14:paraId="6E5092A8" w14:textId="5C0E9D49"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1.000.000 đồng/phiếu</w:t>
            </w:r>
          </w:p>
        </w:tc>
        <w:tc>
          <w:tcPr>
            <w:tcW w:w="3969" w:type="dxa"/>
          </w:tcPr>
          <w:p w14:paraId="22E0716F" w14:textId="37B4ECD6"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bCs/>
                <w:iCs/>
                <w:sz w:val="28"/>
                <w:szCs w:val="28"/>
              </w:rPr>
              <w:t>Điều chỉnh mức chi.</w:t>
            </w:r>
          </w:p>
        </w:tc>
      </w:tr>
      <w:tr w:rsidR="00EA6057" w:rsidRPr="00EA6057" w14:paraId="5CD9C4E7" w14:textId="176C614E" w:rsidTr="00EA6057">
        <w:tc>
          <w:tcPr>
            <w:tcW w:w="851" w:type="dxa"/>
            <w:vAlign w:val="center"/>
          </w:tcPr>
          <w:p w14:paraId="79A165A0" w14:textId="32EE9620"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27</w:t>
            </w:r>
          </w:p>
        </w:tc>
        <w:tc>
          <w:tcPr>
            <w:tcW w:w="5387" w:type="dxa"/>
            <w:vAlign w:val="center"/>
          </w:tcPr>
          <w:p w14:paraId="3FC49333" w14:textId="06020EF0"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Không quy định</w:t>
            </w:r>
          </w:p>
        </w:tc>
        <w:tc>
          <w:tcPr>
            <w:tcW w:w="4111" w:type="dxa"/>
          </w:tcPr>
          <w:p w14:paraId="734FF0E7" w14:textId="1803C157"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Đều 4 khoản 1 mục 4: Hội đồng đánh giá tổ chức KH&amp;CN công lập, chương trình, chính sách, chiến lược</w:t>
            </w:r>
          </w:p>
        </w:tc>
        <w:tc>
          <w:tcPr>
            <w:tcW w:w="3969" w:type="dxa"/>
          </w:tcPr>
          <w:p w14:paraId="33DDA6BB" w14:textId="631CEA44"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Nội dung mới theo Luật KH,CN&amp;ĐMST năm 2025.</w:t>
            </w:r>
          </w:p>
        </w:tc>
      </w:tr>
      <w:tr w:rsidR="00EA6057" w:rsidRPr="00EA6057" w14:paraId="5729AD19" w14:textId="59523304" w:rsidTr="00EA6057">
        <w:tc>
          <w:tcPr>
            <w:tcW w:w="851" w:type="dxa"/>
            <w:vAlign w:val="center"/>
          </w:tcPr>
          <w:p w14:paraId="54B7DC07" w14:textId="67540D5D"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28</w:t>
            </w:r>
          </w:p>
        </w:tc>
        <w:tc>
          <w:tcPr>
            <w:tcW w:w="5387" w:type="dxa"/>
            <w:vAlign w:val="center"/>
          </w:tcPr>
          <w:p w14:paraId="2C80D023" w14:textId="1E91A0BF"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Không quy định</w:t>
            </w:r>
          </w:p>
        </w:tc>
        <w:tc>
          <w:tcPr>
            <w:tcW w:w="4111" w:type="dxa"/>
          </w:tcPr>
          <w:p w14:paraId="64BD8F27" w14:textId="53D091CF"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Chi theo công lao động chuyên gia theo Thông tư 004/2025/TT-BNV</w:t>
            </w:r>
          </w:p>
        </w:tc>
        <w:tc>
          <w:tcPr>
            <w:tcW w:w="3969" w:type="dxa"/>
          </w:tcPr>
          <w:p w14:paraId="417C0D8D" w14:textId="0376848D"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Bổ sung cơ chế chi trả theo ngày công chuyên gia tư vấn.</w:t>
            </w:r>
          </w:p>
        </w:tc>
      </w:tr>
      <w:tr w:rsidR="00EA6057" w:rsidRPr="00EA6057" w14:paraId="2F33924E" w14:textId="4F209FAE" w:rsidTr="00EA6057">
        <w:tc>
          <w:tcPr>
            <w:tcW w:w="851" w:type="dxa"/>
            <w:vAlign w:val="center"/>
          </w:tcPr>
          <w:p w14:paraId="3EAAB66A" w14:textId="74C7BA3C"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29</w:t>
            </w:r>
          </w:p>
        </w:tc>
        <w:tc>
          <w:tcPr>
            <w:tcW w:w="5387" w:type="dxa"/>
            <w:vAlign w:val="center"/>
          </w:tcPr>
          <w:p w14:paraId="3624E390" w14:textId="2D4085A9" w:rsidR="00EA6057" w:rsidRPr="00EA6057" w:rsidRDefault="00EA6057" w:rsidP="00EA6057">
            <w:pPr>
              <w:spacing w:before="120" w:after="120"/>
              <w:rPr>
                <w:rFonts w:ascii="Times New Roman" w:hAnsi="Times New Roman" w:cs="Times New Roman"/>
                <w:sz w:val="28"/>
                <w:szCs w:val="28"/>
              </w:rPr>
            </w:pPr>
            <w:r w:rsidRPr="00EA6057">
              <w:rPr>
                <w:rFonts w:ascii="Times New Roman" w:hAnsi="Times New Roman" w:cs="Times New Roman"/>
                <w:sz w:val="28"/>
                <w:szCs w:val="28"/>
              </w:rPr>
              <w:t>Điều 3 khoản 1 mục 4: Chuyên gia hỗ trợ Hội đồng 1.000.000 đồng/chuyên gia</w:t>
            </w:r>
          </w:p>
        </w:tc>
        <w:tc>
          <w:tcPr>
            <w:tcW w:w="4111" w:type="dxa"/>
            <w:vAlign w:val="center"/>
          </w:tcPr>
          <w:p w14:paraId="403AEA19" w14:textId="1F547399"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4 khoản 1 mục 5: Chuyên gia tư vấn độc lập 1.500.000 đồng/chuyên gia</w:t>
            </w:r>
          </w:p>
        </w:tc>
        <w:tc>
          <w:tcPr>
            <w:tcW w:w="3969" w:type="dxa"/>
            <w:vAlign w:val="center"/>
          </w:tcPr>
          <w:p w14:paraId="319ABEAA" w14:textId="05E367D6"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bCs/>
                <w:iCs/>
                <w:sz w:val="28"/>
                <w:szCs w:val="28"/>
              </w:rPr>
              <w:t>Điều chỉnh tăng mức chi</w:t>
            </w:r>
          </w:p>
        </w:tc>
      </w:tr>
      <w:tr w:rsidR="00EA6057" w:rsidRPr="00EA6057" w14:paraId="10A78F0A" w14:textId="18913B2E" w:rsidTr="00EA6057">
        <w:tc>
          <w:tcPr>
            <w:tcW w:w="851" w:type="dxa"/>
            <w:vAlign w:val="center"/>
          </w:tcPr>
          <w:p w14:paraId="4C20D5D9" w14:textId="00133983"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30</w:t>
            </w:r>
          </w:p>
        </w:tc>
        <w:tc>
          <w:tcPr>
            <w:tcW w:w="5387" w:type="dxa"/>
            <w:vAlign w:val="center"/>
          </w:tcPr>
          <w:p w14:paraId="22B8C930" w14:textId="7C9215FA" w:rsidR="00EA6057" w:rsidRPr="00EA6057" w:rsidRDefault="00EA6057" w:rsidP="00EA6057">
            <w:pPr>
              <w:spacing w:before="120" w:after="120"/>
              <w:rPr>
                <w:rFonts w:ascii="Times New Roman" w:hAnsi="Times New Roman" w:cs="Times New Roman"/>
                <w:b/>
                <w:sz w:val="28"/>
                <w:szCs w:val="28"/>
              </w:rPr>
            </w:pPr>
            <w:r w:rsidRPr="00EA6057">
              <w:rPr>
                <w:rFonts w:ascii="Times New Roman" w:hAnsi="Times New Roman" w:cs="Times New Roman"/>
                <w:sz w:val="28"/>
                <w:szCs w:val="28"/>
              </w:rPr>
              <w:t>Điều 3 khoản 1 điểm b: Hội đồng khác bằng 50% mức nghiệm thu</w:t>
            </w:r>
          </w:p>
        </w:tc>
        <w:tc>
          <w:tcPr>
            <w:tcW w:w="4111" w:type="dxa"/>
            <w:vAlign w:val="center"/>
          </w:tcPr>
          <w:p w14:paraId="260B0ABC" w14:textId="0B620B4A"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4 khoản 1 điểm b: Hội đồng khác bằng 150% Hội đồng xét tài trợ, đặt hàng</w:t>
            </w:r>
          </w:p>
        </w:tc>
        <w:tc>
          <w:tcPr>
            <w:tcW w:w="3969" w:type="dxa"/>
            <w:vAlign w:val="center"/>
          </w:tcPr>
          <w:p w14:paraId="169808C3" w14:textId="4B57D38C"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chỉnh phương thức xác định mức chi phù hợp Thông tư 38.</w:t>
            </w:r>
          </w:p>
        </w:tc>
      </w:tr>
      <w:tr w:rsidR="00EA6057" w:rsidRPr="00EA6057" w14:paraId="510CDF8D" w14:textId="6194EB64" w:rsidTr="00EA6057">
        <w:tc>
          <w:tcPr>
            <w:tcW w:w="851" w:type="dxa"/>
            <w:vAlign w:val="center"/>
          </w:tcPr>
          <w:p w14:paraId="02F9523A" w14:textId="035B8E82"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31</w:t>
            </w:r>
          </w:p>
        </w:tc>
        <w:tc>
          <w:tcPr>
            <w:tcW w:w="5387" w:type="dxa"/>
          </w:tcPr>
          <w:p w14:paraId="31D436F0" w14:textId="6A76D33C"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 xml:space="preserve">Điều 3 khoản 2: Tổ trưởng tổ thẩm định </w:t>
            </w:r>
            <w:r w:rsidRPr="00EA6057">
              <w:rPr>
                <w:rFonts w:ascii="Times New Roman" w:hAnsi="Times New Roman" w:cs="Times New Roman"/>
                <w:sz w:val="28"/>
                <w:szCs w:val="28"/>
              </w:rPr>
              <w:lastRenderedPageBreak/>
              <w:t>800.000 đồng/nhiệm vụ</w:t>
            </w:r>
          </w:p>
        </w:tc>
        <w:tc>
          <w:tcPr>
            <w:tcW w:w="4111" w:type="dxa"/>
          </w:tcPr>
          <w:p w14:paraId="354C740D" w14:textId="6B92A5F9"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lastRenderedPageBreak/>
              <w:t xml:space="preserve">Điều 4 khoản 2: Tổ trưởng tổ thẩm định 1.000.000 đồng/nhiệm </w:t>
            </w:r>
            <w:r w:rsidRPr="00EA6057">
              <w:rPr>
                <w:rFonts w:ascii="Times New Roman" w:hAnsi="Times New Roman" w:cs="Times New Roman"/>
                <w:sz w:val="28"/>
                <w:szCs w:val="28"/>
              </w:rPr>
              <w:lastRenderedPageBreak/>
              <w:t>vụ</w:t>
            </w:r>
          </w:p>
        </w:tc>
        <w:tc>
          <w:tcPr>
            <w:tcW w:w="3969" w:type="dxa"/>
          </w:tcPr>
          <w:p w14:paraId="29175144" w14:textId="73F620FD"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lastRenderedPageBreak/>
              <w:t>Điều chỉnh mức chi.</w:t>
            </w:r>
          </w:p>
        </w:tc>
      </w:tr>
      <w:tr w:rsidR="00EA6057" w:rsidRPr="00EA6057" w14:paraId="645CD824" w14:textId="7E9573CB" w:rsidTr="00EA6057">
        <w:tc>
          <w:tcPr>
            <w:tcW w:w="851" w:type="dxa"/>
            <w:vAlign w:val="center"/>
          </w:tcPr>
          <w:p w14:paraId="4F194C25" w14:textId="445C7A87"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lastRenderedPageBreak/>
              <w:t>32</w:t>
            </w:r>
          </w:p>
        </w:tc>
        <w:tc>
          <w:tcPr>
            <w:tcW w:w="5387" w:type="dxa"/>
          </w:tcPr>
          <w:p w14:paraId="188B0435" w14:textId="2AD5672F"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Thành viên tổ thẩm định 600.000 đồng/nhiệm vụ</w:t>
            </w:r>
          </w:p>
        </w:tc>
        <w:tc>
          <w:tcPr>
            <w:tcW w:w="4111" w:type="dxa"/>
          </w:tcPr>
          <w:p w14:paraId="282D13C9" w14:textId="57E43D41"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700.000 đồng/nhiệm vụ</w:t>
            </w:r>
          </w:p>
        </w:tc>
        <w:tc>
          <w:tcPr>
            <w:tcW w:w="3969" w:type="dxa"/>
          </w:tcPr>
          <w:p w14:paraId="468827A2" w14:textId="6A0ED5E1"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chỉnh mức chi.</w:t>
            </w:r>
          </w:p>
        </w:tc>
      </w:tr>
      <w:tr w:rsidR="00EA6057" w:rsidRPr="00EA6057" w14:paraId="073AE43A" w14:textId="7065597A" w:rsidTr="00EA6057">
        <w:tc>
          <w:tcPr>
            <w:tcW w:w="851" w:type="dxa"/>
            <w:vAlign w:val="center"/>
          </w:tcPr>
          <w:p w14:paraId="40538E68" w14:textId="56300ED3"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33</w:t>
            </w:r>
          </w:p>
        </w:tc>
        <w:tc>
          <w:tcPr>
            <w:tcW w:w="5387" w:type="dxa"/>
          </w:tcPr>
          <w:p w14:paraId="608AFA4E" w14:textId="0CB598AF"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Thư ký hành chính 250.000 đồng/nhiệm vụ</w:t>
            </w:r>
          </w:p>
        </w:tc>
        <w:tc>
          <w:tcPr>
            <w:tcW w:w="4111" w:type="dxa"/>
          </w:tcPr>
          <w:p w14:paraId="4EB169F6" w14:textId="2DAF37DC"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300.000 đồng/nhiệm vụ</w:t>
            </w:r>
          </w:p>
        </w:tc>
        <w:tc>
          <w:tcPr>
            <w:tcW w:w="3969" w:type="dxa"/>
          </w:tcPr>
          <w:p w14:paraId="7B267F2C" w14:textId="35FEB4EF"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chỉnh mức chi.</w:t>
            </w:r>
          </w:p>
        </w:tc>
      </w:tr>
      <w:tr w:rsidR="00EA6057" w:rsidRPr="00EA6057" w14:paraId="7E0DCB86" w14:textId="0EE9C3E2" w:rsidTr="00EA6057">
        <w:tc>
          <w:tcPr>
            <w:tcW w:w="851" w:type="dxa"/>
            <w:vAlign w:val="center"/>
          </w:tcPr>
          <w:p w14:paraId="7EA7A0E8" w14:textId="07700FA4"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34</w:t>
            </w:r>
          </w:p>
        </w:tc>
        <w:tc>
          <w:tcPr>
            <w:tcW w:w="5387" w:type="dxa"/>
          </w:tcPr>
          <w:p w14:paraId="7FD4EE85" w14:textId="7114BFBF"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Đại biểu tham dự 200.000 đồng/nhiệm vụ</w:t>
            </w:r>
          </w:p>
        </w:tc>
        <w:tc>
          <w:tcPr>
            <w:tcW w:w="4111" w:type="dxa"/>
          </w:tcPr>
          <w:p w14:paraId="26CF6977" w14:textId="440CF2EE"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200.000 đồng/nhiệm vụ</w:t>
            </w:r>
          </w:p>
        </w:tc>
        <w:tc>
          <w:tcPr>
            <w:tcW w:w="3969" w:type="dxa"/>
          </w:tcPr>
          <w:p w14:paraId="390C632F" w14:textId="3FD067B5"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Giữ nguyên</w:t>
            </w:r>
          </w:p>
        </w:tc>
      </w:tr>
      <w:tr w:rsidR="00EA6057" w:rsidRPr="00EA6057" w14:paraId="3D81AB52" w14:textId="2B45D0C0" w:rsidTr="00EA6057">
        <w:tc>
          <w:tcPr>
            <w:tcW w:w="851" w:type="dxa"/>
            <w:vAlign w:val="center"/>
          </w:tcPr>
          <w:p w14:paraId="160AD182" w14:textId="39275D07"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35</w:t>
            </w:r>
          </w:p>
        </w:tc>
        <w:tc>
          <w:tcPr>
            <w:tcW w:w="5387" w:type="dxa"/>
            <w:vAlign w:val="center"/>
          </w:tcPr>
          <w:p w14:paraId="38142ECF" w14:textId="362899F4"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Không quy định</w:t>
            </w:r>
          </w:p>
        </w:tc>
        <w:tc>
          <w:tcPr>
            <w:tcW w:w="4111" w:type="dxa"/>
          </w:tcPr>
          <w:p w14:paraId="79549915" w14:textId="4EA6F943"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4 khoản 3: Chi thông báo kế hoạch tài trợ, đặt hàng nhiệm vụ KH,CN&amp;ĐMST</w:t>
            </w:r>
          </w:p>
        </w:tc>
        <w:tc>
          <w:tcPr>
            <w:tcW w:w="3969" w:type="dxa"/>
          </w:tcPr>
          <w:p w14:paraId="306624F3" w14:textId="76B54E16"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Nội dung mới theo Thông tư 38.</w:t>
            </w:r>
          </w:p>
        </w:tc>
      </w:tr>
      <w:tr w:rsidR="00EA6057" w:rsidRPr="00EA6057" w14:paraId="566EE87E" w14:textId="59A457E4" w:rsidTr="00EA6057">
        <w:tc>
          <w:tcPr>
            <w:tcW w:w="851" w:type="dxa"/>
            <w:vAlign w:val="center"/>
          </w:tcPr>
          <w:p w14:paraId="5DF51898" w14:textId="24819E86"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36</w:t>
            </w:r>
          </w:p>
        </w:tc>
        <w:tc>
          <w:tcPr>
            <w:tcW w:w="5387" w:type="dxa"/>
          </w:tcPr>
          <w:p w14:paraId="1EBD7336" w14:textId="1BAB5053"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Điều 3 khoản 4: Kiểm tra, đánh giá quá trình thực hiện nhiệm vụ</w:t>
            </w:r>
          </w:p>
        </w:tc>
        <w:tc>
          <w:tcPr>
            <w:tcW w:w="4111" w:type="dxa"/>
          </w:tcPr>
          <w:p w14:paraId="64F998FC" w14:textId="16354B3C"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4 khoản 4: Kiểm tra trong kỳ, cuối kỳ, đánh giá đầu ra và đánh giá tác động</w:t>
            </w:r>
          </w:p>
        </w:tc>
        <w:tc>
          <w:tcPr>
            <w:tcW w:w="3969" w:type="dxa"/>
          </w:tcPr>
          <w:p w14:paraId="10CCA8F6" w14:textId="1593F06D"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Mở rộng phạm vi đánh giá hiệu quả sử dụng NSNN.</w:t>
            </w:r>
          </w:p>
        </w:tc>
      </w:tr>
      <w:tr w:rsidR="00EA6057" w:rsidRPr="00EA6057" w14:paraId="774C16B5" w14:textId="167AA4C2" w:rsidTr="00EA6057">
        <w:tc>
          <w:tcPr>
            <w:tcW w:w="851" w:type="dxa"/>
            <w:vAlign w:val="center"/>
          </w:tcPr>
          <w:p w14:paraId="50D4147E" w14:textId="677B3ED7"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37</w:t>
            </w:r>
          </w:p>
        </w:tc>
        <w:tc>
          <w:tcPr>
            <w:tcW w:w="5387" w:type="dxa"/>
          </w:tcPr>
          <w:p w14:paraId="73230FB8" w14:textId="7E26B59D"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Hội đồng đánh giá tối đa 50% mức nghiệm thu</w:t>
            </w:r>
          </w:p>
        </w:tc>
        <w:tc>
          <w:tcPr>
            <w:tcW w:w="4111" w:type="dxa"/>
          </w:tcPr>
          <w:p w14:paraId="231EFFE7" w14:textId="2E123D60"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Đánh giá trong kỳ tối đa 50% mức Hội đồng xét tài trợ</w:t>
            </w:r>
          </w:p>
        </w:tc>
        <w:tc>
          <w:tcPr>
            <w:tcW w:w="3969" w:type="dxa"/>
          </w:tcPr>
          <w:p w14:paraId="7A0F7393" w14:textId="0CC950BD"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Kế thừa nguyên tắc cũ.</w:t>
            </w:r>
          </w:p>
        </w:tc>
      </w:tr>
      <w:tr w:rsidR="00EA6057" w:rsidRPr="00EA6057" w14:paraId="699A6382" w14:textId="3DD1CB15" w:rsidTr="00EA6057">
        <w:tc>
          <w:tcPr>
            <w:tcW w:w="851" w:type="dxa"/>
            <w:vAlign w:val="center"/>
          </w:tcPr>
          <w:p w14:paraId="33F4E715" w14:textId="222B135E"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38</w:t>
            </w:r>
          </w:p>
        </w:tc>
        <w:tc>
          <w:tcPr>
            <w:tcW w:w="5387" w:type="dxa"/>
            <w:vAlign w:val="center"/>
          </w:tcPr>
          <w:p w14:paraId="5551E4B3" w14:textId="6992B32B"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Không quy định</w:t>
            </w:r>
          </w:p>
        </w:tc>
        <w:tc>
          <w:tcPr>
            <w:tcW w:w="4111" w:type="dxa"/>
          </w:tcPr>
          <w:p w14:paraId="41BF7939" w14:textId="3BF07766"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Đánh giá cuối kỳ tối đa 100% mức Hội đồng xét tài trợ</w:t>
            </w:r>
          </w:p>
        </w:tc>
        <w:tc>
          <w:tcPr>
            <w:tcW w:w="3969" w:type="dxa"/>
          </w:tcPr>
          <w:p w14:paraId="3468C80F" w14:textId="13216AC9"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Bổ sung mới.</w:t>
            </w:r>
          </w:p>
        </w:tc>
      </w:tr>
      <w:tr w:rsidR="00EA6057" w:rsidRPr="00EA6057" w14:paraId="7CBAECD1" w14:textId="32CFC2B7" w:rsidTr="00EA6057">
        <w:tc>
          <w:tcPr>
            <w:tcW w:w="851" w:type="dxa"/>
            <w:vAlign w:val="center"/>
          </w:tcPr>
          <w:p w14:paraId="092EECD3" w14:textId="040A55A0" w:rsidR="00EA6057" w:rsidRPr="00EA6057" w:rsidRDefault="00EA6057" w:rsidP="00EA6057">
            <w:pPr>
              <w:tabs>
                <w:tab w:val="left" w:pos="1820"/>
              </w:tabs>
              <w:spacing w:before="120" w:after="120"/>
              <w:jc w:val="center"/>
              <w:rPr>
                <w:rFonts w:ascii="Times New Roman" w:hAnsi="Times New Roman" w:cs="Times New Roman"/>
                <w:sz w:val="28"/>
                <w:szCs w:val="28"/>
              </w:rPr>
            </w:pPr>
            <w:r w:rsidRPr="00EA6057">
              <w:rPr>
                <w:rFonts w:ascii="Times New Roman" w:hAnsi="Times New Roman" w:cs="Times New Roman"/>
                <w:sz w:val="28"/>
                <w:szCs w:val="28"/>
              </w:rPr>
              <w:t>39</w:t>
            </w:r>
          </w:p>
        </w:tc>
        <w:tc>
          <w:tcPr>
            <w:tcW w:w="5387" w:type="dxa"/>
            <w:vAlign w:val="center"/>
          </w:tcPr>
          <w:p w14:paraId="68401445" w14:textId="1B837BDF" w:rsidR="00EA6057" w:rsidRPr="00EA6057" w:rsidRDefault="00EA6057" w:rsidP="00EA6057">
            <w:pPr>
              <w:spacing w:before="120" w:after="120"/>
              <w:rPr>
                <w:rFonts w:ascii="Times New Roman" w:hAnsi="Times New Roman" w:cs="Times New Roman"/>
                <w:sz w:val="28"/>
                <w:szCs w:val="28"/>
              </w:rPr>
            </w:pPr>
            <w:r w:rsidRPr="00EA6057">
              <w:rPr>
                <w:rFonts w:ascii="Times New Roman" w:hAnsi="Times New Roman" w:cs="Times New Roman"/>
                <w:sz w:val="28"/>
                <w:szCs w:val="28"/>
              </w:rPr>
              <w:t>Điều 3 khoản 5: Hội nghị, hội thảo quản lý nhiệm vụ KH&amp;CN</w:t>
            </w:r>
          </w:p>
        </w:tc>
        <w:tc>
          <w:tcPr>
            <w:tcW w:w="4111" w:type="dxa"/>
            <w:vAlign w:val="center"/>
          </w:tcPr>
          <w:p w14:paraId="7D568F0D" w14:textId="1E33DBF3"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Điều 4 khoản 5: Hội nghị, hội thảo quản lý nhiệm vụ, chương trình KH,CN&amp;ĐMST</w:t>
            </w:r>
          </w:p>
        </w:tc>
        <w:tc>
          <w:tcPr>
            <w:tcW w:w="3969" w:type="dxa"/>
          </w:tcPr>
          <w:p w14:paraId="676DA318" w14:textId="4689CD1F"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Thực hiện theo quy định của Hội đồng nhân dân tỉnh về nội dung và mức chi thực hiện nhiệm vụ khoa học, công nghệ và đổi mới sáng tạo.</w:t>
            </w:r>
          </w:p>
        </w:tc>
      </w:tr>
      <w:tr w:rsidR="00EA6057" w:rsidRPr="00EA6057" w14:paraId="7AF63706" w14:textId="7416CDE5" w:rsidTr="00EA6057">
        <w:tc>
          <w:tcPr>
            <w:tcW w:w="851" w:type="dxa"/>
            <w:vAlign w:val="center"/>
          </w:tcPr>
          <w:p w14:paraId="29447911" w14:textId="2F8F01EB"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lastRenderedPageBreak/>
              <w:t>40</w:t>
            </w:r>
          </w:p>
        </w:tc>
        <w:tc>
          <w:tcPr>
            <w:tcW w:w="5387" w:type="dxa"/>
          </w:tcPr>
          <w:p w14:paraId="42E556E5" w14:textId="1C495E2E"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Điều 3 khoản 6 điểm b: Họp Hội đồng KH cấp tỉnh, Ban Chủ nhiệm</w:t>
            </w:r>
          </w:p>
        </w:tc>
        <w:tc>
          <w:tcPr>
            <w:tcW w:w="4111" w:type="dxa"/>
          </w:tcPr>
          <w:p w14:paraId="7343613C" w14:textId="45AEBAF7"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4 khoản 6: Chi thù lao Ban Chủ nhiệm chương trình</w:t>
            </w:r>
          </w:p>
        </w:tc>
        <w:tc>
          <w:tcPr>
            <w:tcW w:w="3969" w:type="dxa"/>
          </w:tcPr>
          <w:p w14:paraId="29E5C5E6" w14:textId="5B476EAB"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Kế thừa, chuẩn hóa theo mô hình quản lý chương trình.</w:t>
            </w:r>
          </w:p>
        </w:tc>
      </w:tr>
      <w:tr w:rsidR="00EA6057" w:rsidRPr="00EA6057" w14:paraId="5BB0AC3B" w14:textId="6EE5DE32" w:rsidTr="00EA6057">
        <w:tc>
          <w:tcPr>
            <w:tcW w:w="851" w:type="dxa"/>
            <w:vAlign w:val="center"/>
          </w:tcPr>
          <w:p w14:paraId="1BB75F32" w14:textId="5E6D8743"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41</w:t>
            </w:r>
          </w:p>
        </w:tc>
        <w:tc>
          <w:tcPr>
            <w:tcW w:w="5387" w:type="dxa"/>
            <w:vAlign w:val="center"/>
          </w:tcPr>
          <w:p w14:paraId="64CBD262" w14:textId="2AEAF9D2"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Không quy định</w:t>
            </w:r>
          </w:p>
        </w:tc>
        <w:tc>
          <w:tcPr>
            <w:tcW w:w="4111" w:type="dxa"/>
          </w:tcPr>
          <w:p w14:paraId="7A52F5E8" w14:textId="137EB706"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4 khoản 7: Chi đánh giá tổ chức KH&amp;CN công lập, chương trình, chính sách, chiến lược</w:t>
            </w:r>
          </w:p>
        </w:tc>
        <w:tc>
          <w:tcPr>
            <w:tcW w:w="3969" w:type="dxa"/>
          </w:tcPr>
          <w:p w14:paraId="038A159C" w14:textId="7F400A76"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Nội dung mới (Dự thảo giữ nguyên nguyên tắc lập dự toán theo Thông tư 38/2025/TT-BKHCN)</w:t>
            </w:r>
          </w:p>
        </w:tc>
      </w:tr>
      <w:tr w:rsidR="00EA6057" w:rsidRPr="00EA6057" w14:paraId="03C62A80" w14:textId="636BB572" w:rsidTr="00EA6057">
        <w:tc>
          <w:tcPr>
            <w:tcW w:w="851" w:type="dxa"/>
            <w:vAlign w:val="center"/>
          </w:tcPr>
          <w:p w14:paraId="0EAF0039" w14:textId="56DE544A" w:rsidR="00EA6057" w:rsidRPr="00EA6057" w:rsidRDefault="00EA6057" w:rsidP="00EA6057">
            <w:pPr>
              <w:tabs>
                <w:tab w:val="left" w:pos="1820"/>
              </w:tabs>
              <w:spacing w:before="120" w:after="120"/>
              <w:jc w:val="center"/>
              <w:rPr>
                <w:rFonts w:ascii="Times New Roman" w:hAnsi="Times New Roman" w:cs="Times New Roman"/>
                <w:b/>
                <w:sz w:val="28"/>
                <w:szCs w:val="28"/>
              </w:rPr>
            </w:pPr>
            <w:r w:rsidRPr="00EA6057">
              <w:rPr>
                <w:rFonts w:ascii="Times New Roman" w:hAnsi="Times New Roman" w:cs="Times New Roman"/>
                <w:sz w:val="28"/>
                <w:szCs w:val="28"/>
              </w:rPr>
              <w:t>42</w:t>
            </w:r>
          </w:p>
        </w:tc>
        <w:tc>
          <w:tcPr>
            <w:tcW w:w="5387" w:type="dxa"/>
            <w:vAlign w:val="center"/>
          </w:tcPr>
          <w:p w14:paraId="6AA83D35" w14:textId="2A548BCD" w:rsidR="00EA6057" w:rsidRPr="00EA6057" w:rsidRDefault="00EA6057" w:rsidP="00EA6057">
            <w:pPr>
              <w:spacing w:before="120" w:after="120"/>
              <w:jc w:val="both"/>
              <w:rPr>
                <w:rFonts w:ascii="Times New Roman" w:hAnsi="Times New Roman" w:cs="Times New Roman"/>
                <w:b/>
                <w:sz w:val="28"/>
                <w:szCs w:val="28"/>
              </w:rPr>
            </w:pPr>
            <w:r w:rsidRPr="00EA6057">
              <w:rPr>
                <w:rFonts w:ascii="Times New Roman" w:hAnsi="Times New Roman" w:cs="Times New Roman"/>
                <w:sz w:val="28"/>
                <w:szCs w:val="28"/>
              </w:rPr>
              <w:t>Không quy định</w:t>
            </w:r>
          </w:p>
        </w:tc>
        <w:tc>
          <w:tcPr>
            <w:tcW w:w="4111" w:type="dxa"/>
          </w:tcPr>
          <w:p w14:paraId="53411B6E" w14:textId="0884070D"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Điều 4 khoản 8: Xây dựng chiến lược, kế hoạch tổng thể KH,CN&amp;ĐMST 05 năm.</w:t>
            </w:r>
          </w:p>
        </w:tc>
        <w:tc>
          <w:tcPr>
            <w:tcW w:w="3969" w:type="dxa"/>
          </w:tcPr>
          <w:p w14:paraId="361CC3F6" w14:textId="4C0F2D74" w:rsidR="00EA6057" w:rsidRPr="00EA6057" w:rsidRDefault="00EA6057" w:rsidP="00EA6057">
            <w:pPr>
              <w:spacing w:before="120" w:after="120"/>
              <w:jc w:val="both"/>
              <w:rPr>
                <w:rFonts w:ascii="Times New Roman" w:hAnsi="Times New Roman" w:cs="Times New Roman"/>
                <w:bCs/>
                <w:iCs/>
                <w:sz w:val="28"/>
                <w:szCs w:val="28"/>
              </w:rPr>
            </w:pPr>
            <w:r w:rsidRPr="00EA6057">
              <w:rPr>
                <w:rFonts w:ascii="Times New Roman" w:hAnsi="Times New Roman" w:cs="Times New Roman"/>
                <w:sz w:val="28"/>
                <w:szCs w:val="28"/>
              </w:rPr>
              <w:t>Nội dung mới để triển khai Luật KH,CN&amp;ĐMST năm 2025.</w:t>
            </w:r>
          </w:p>
        </w:tc>
      </w:tr>
      <w:tr w:rsidR="00EA6057" w:rsidRPr="00EA6057" w14:paraId="33FDA842" w14:textId="08967D47" w:rsidTr="00EA6057">
        <w:tc>
          <w:tcPr>
            <w:tcW w:w="851" w:type="dxa"/>
            <w:vAlign w:val="center"/>
          </w:tcPr>
          <w:p w14:paraId="2AF444E6" w14:textId="2F87FD12" w:rsidR="00EA6057" w:rsidRPr="00EA6057" w:rsidRDefault="00EA6057" w:rsidP="00EA6057">
            <w:pPr>
              <w:tabs>
                <w:tab w:val="left" w:pos="1820"/>
              </w:tabs>
              <w:spacing w:before="120" w:after="120"/>
              <w:jc w:val="center"/>
              <w:rPr>
                <w:rFonts w:ascii="Times New Roman" w:hAnsi="Times New Roman" w:cs="Times New Roman"/>
                <w:b/>
                <w:sz w:val="28"/>
                <w:szCs w:val="28"/>
              </w:rPr>
            </w:pPr>
          </w:p>
        </w:tc>
        <w:tc>
          <w:tcPr>
            <w:tcW w:w="5387" w:type="dxa"/>
            <w:vAlign w:val="center"/>
          </w:tcPr>
          <w:p w14:paraId="7803F7AE" w14:textId="79543BD3" w:rsidR="00EA6057" w:rsidRPr="00EA6057" w:rsidRDefault="00EA6057" w:rsidP="00EA6057">
            <w:pPr>
              <w:spacing w:before="120" w:after="120"/>
              <w:jc w:val="both"/>
              <w:rPr>
                <w:rFonts w:ascii="Times New Roman" w:hAnsi="Times New Roman" w:cs="Times New Roman"/>
                <w:b/>
                <w:sz w:val="28"/>
                <w:szCs w:val="28"/>
              </w:rPr>
            </w:pPr>
          </w:p>
        </w:tc>
        <w:tc>
          <w:tcPr>
            <w:tcW w:w="4111" w:type="dxa"/>
          </w:tcPr>
          <w:p w14:paraId="4B41BD08" w14:textId="6E1A12E8" w:rsidR="00EA6057" w:rsidRPr="00EA6057" w:rsidRDefault="00EA6057" w:rsidP="00EA6057">
            <w:pPr>
              <w:spacing w:before="120" w:after="120"/>
              <w:jc w:val="both"/>
              <w:rPr>
                <w:rFonts w:ascii="Times New Roman" w:hAnsi="Times New Roman" w:cs="Times New Roman"/>
                <w:sz w:val="28"/>
                <w:szCs w:val="28"/>
              </w:rPr>
            </w:pPr>
          </w:p>
        </w:tc>
        <w:tc>
          <w:tcPr>
            <w:tcW w:w="3969" w:type="dxa"/>
          </w:tcPr>
          <w:p w14:paraId="1050B628" w14:textId="7D4F89A9" w:rsidR="00EA6057" w:rsidRPr="00EA6057" w:rsidRDefault="00EA6057" w:rsidP="00EA6057">
            <w:pPr>
              <w:spacing w:before="120" w:after="120"/>
              <w:jc w:val="both"/>
              <w:rPr>
                <w:rFonts w:ascii="Times New Roman" w:hAnsi="Times New Roman" w:cs="Times New Roman"/>
                <w:sz w:val="28"/>
                <w:szCs w:val="28"/>
              </w:rPr>
            </w:pPr>
            <w:r w:rsidRPr="00EA6057">
              <w:rPr>
                <w:rFonts w:ascii="Times New Roman" w:hAnsi="Times New Roman" w:cs="Times New Roman"/>
                <w:sz w:val="28"/>
                <w:szCs w:val="28"/>
              </w:rPr>
              <w:t xml:space="preserve">Điều 4 dự thảo Nghị quyết cơ bản kế thừa khung định mức của Thông tư số 38/2025/TT-BKHCN; đồng thời thay thế các quy định tương ứng tại Nghị quyết số 30/2023/NQ-HĐND. Nội dung dự thảo mở rộng phạm vi điều chỉnh sang hoạt động đổi mới sáng tạo, bổ sung nhiều nội dung chi mới phát sinh theo Luật Khoa học, Công nghệ và Đổi mới sáng tạo năm 2025; các mức chi được xây dựng không vượt quá khung định mức tối đa do Bộ Khoa học và Công nghệ quy </w:t>
            </w:r>
            <w:r w:rsidRPr="00EA6057">
              <w:rPr>
                <w:rFonts w:ascii="Times New Roman" w:hAnsi="Times New Roman" w:cs="Times New Roman"/>
                <w:sz w:val="28"/>
                <w:szCs w:val="28"/>
              </w:rPr>
              <w:lastRenderedPageBreak/>
              <w:t>định, phù hợp điều kiện thực tiễn và khả năng cân đối ngân sách địa phương.</w:t>
            </w:r>
          </w:p>
        </w:tc>
      </w:tr>
    </w:tbl>
    <w:p w14:paraId="77F9FFE6" w14:textId="77777777" w:rsidR="00A76BDA" w:rsidRPr="00EA6057" w:rsidRDefault="00A76BDA" w:rsidP="00D03C27">
      <w:pPr>
        <w:rPr>
          <w:rFonts w:ascii="Times New Roman" w:hAnsi="Times New Roman" w:cs="Times New Roman"/>
          <w:b/>
          <w:bCs/>
          <w:sz w:val="28"/>
          <w:szCs w:val="28"/>
        </w:rPr>
      </w:pPr>
    </w:p>
    <w:sectPr w:rsidR="00A76BDA" w:rsidRPr="00EA6057" w:rsidSect="00EA6057">
      <w:headerReference w:type="default" r:id="rId7"/>
      <w:pgSz w:w="16840" w:h="11907" w:orient="landscape" w:code="9"/>
      <w:pgMar w:top="1134" w:right="1134" w:bottom="1134" w:left="1418"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A968B" w14:textId="77777777" w:rsidR="003C67C9" w:rsidRDefault="003C67C9" w:rsidP="000E28F3">
      <w:pPr>
        <w:spacing w:after="0" w:line="240" w:lineRule="auto"/>
      </w:pPr>
      <w:r>
        <w:separator/>
      </w:r>
    </w:p>
  </w:endnote>
  <w:endnote w:type="continuationSeparator" w:id="0">
    <w:p w14:paraId="6A048653" w14:textId="77777777" w:rsidR="003C67C9" w:rsidRDefault="003C67C9" w:rsidP="000E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39E30" w14:textId="77777777" w:rsidR="003C67C9" w:rsidRDefault="003C67C9" w:rsidP="000E28F3">
      <w:pPr>
        <w:spacing w:after="0" w:line="240" w:lineRule="auto"/>
      </w:pPr>
      <w:r>
        <w:separator/>
      </w:r>
    </w:p>
  </w:footnote>
  <w:footnote w:type="continuationSeparator" w:id="0">
    <w:p w14:paraId="42EDA4AA" w14:textId="77777777" w:rsidR="003C67C9" w:rsidRDefault="003C67C9" w:rsidP="000E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246046"/>
      <w:docPartObj>
        <w:docPartGallery w:val="Page Numbers (Top of Page)"/>
        <w:docPartUnique/>
      </w:docPartObj>
    </w:sdtPr>
    <w:sdtEndPr>
      <w:rPr>
        <w:noProof/>
      </w:rPr>
    </w:sdtEndPr>
    <w:sdtContent>
      <w:p w14:paraId="4E18C8F2" w14:textId="22274C58" w:rsidR="008C7562" w:rsidRDefault="008C7562">
        <w:pPr>
          <w:pStyle w:val="Header"/>
          <w:jc w:val="center"/>
        </w:pPr>
        <w:r>
          <w:fldChar w:fldCharType="begin"/>
        </w:r>
        <w:r>
          <w:instrText xml:space="preserve"> PAGE   \* MERGEFORMAT </w:instrText>
        </w:r>
        <w:r>
          <w:fldChar w:fldCharType="separate"/>
        </w:r>
        <w:r w:rsidR="004C7B15">
          <w:rPr>
            <w:noProof/>
          </w:rPr>
          <w:t>2</w:t>
        </w:r>
        <w:r>
          <w:rPr>
            <w:noProof/>
          </w:rPr>
          <w:fldChar w:fldCharType="end"/>
        </w:r>
      </w:p>
    </w:sdtContent>
  </w:sdt>
  <w:p w14:paraId="7C2E1094" w14:textId="77777777" w:rsidR="008C7562" w:rsidRDefault="008C75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65"/>
    <w:rsid w:val="00007BB5"/>
    <w:rsid w:val="000153E5"/>
    <w:rsid w:val="00022240"/>
    <w:rsid w:val="00026E50"/>
    <w:rsid w:val="000315F4"/>
    <w:rsid w:val="000621F0"/>
    <w:rsid w:val="000660A3"/>
    <w:rsid w:val="000660CF"/>
    <w:rsid w:val="000665FB"/>
    <w:rsid w:val="00095117"/>
    <w:rsid w:val="000B5CAF"/>
    <w:rsid w:val="000E28F3"/>
    <w:rsid w:val="000E6A71"/>
    <w:rsid w:val="000F202C"/>
    <w:rsid w:val="00102B19"/>
    <w:rsid w:val="00112C3F"/>
    <w:rsid w:val="00116EFC"/>
    <w:rsid w:val="00125EBA"/>
    <w:rsid w:val="001320D1"/>
    <w:rsid w:val="00144B70"/>
    <w:rsid w:val="00147DD0"/>
    <w:rsid w:val="001533C2"/>
    <w:rsid w:val="001669EB"/>
    <w:rsid w:val="00171F47"/>
    <w:rsid w:val="00172F24"/>
    <w:rsid w:val="001824CF"/>
    <w:rsid w:val="00182DD4"/>
    <w:rsid w:val="001B32D6"/>
    <w:rsid w:val="001C622E"/>
    <w:rsid w:val="001C6967"/>
    <w:rsid w:val="001D24FD"/>
    <w:rsid w:val="001D33B6"/>
    <w:rsid w:val="001D488F"/>
    <w:rsid w:val="001D759C"/>
    <w:rsid w:val="001E0A8A"/>
    <w:rsid w:val="001E1A26"/>
    <w:rsid w:val="001E31A8"/>
    <w:rsid w:val="001F0FEE"/>
    <w:rsid w:val="001F1C60"/>
    <w:rsid w:val="001F7A1F"/>
    <w:rsid w:val="002062E4"/>
    <w:rsid w:val="002108B6"/>
    <w:rsid w:val="00210D2F"/>
    <w:rsid w:val="00211E6A"/>
    <w:rsid w:val="0021385B"/>
    <w:rsid w:val="0026268B"/>
    <w:rsid w:val="002652E0"/>
    <w:rsid w:val="00267319"/>
    <w:rsid w:val="0027167C"/>
    <w:rsid w:val="00280B97"/>
    <w:rsid w:val="0028132B"/>
    <w:rsid w:val="00296B0A"/>
    <w:rsid w:val="002A02C8"/>
    <w:rsid w:val="002A11B1"/>
    <w:rsid w:val="002B5DAA"/>
    <w:rsid w:val="002C267F"/>
    <w:rsid w:val="002D0A98"/>
    <w:rsid w:val="002F37A3"/>
    <w:rsid w:val="002F4CFF"/>
    <w:rsid w:val="002F76CB"/>
    <w:rsid w:val="00323878"/>
    <w:rsid w:val="003254ED"/>
    <w:rsid w:val="00333020"/>
    <w:rsid w:val="00354697"/>
    <w:rsid w:val="00355C35"/>
    <w:rsid w:val="00356070"/>
    <w:rsid w:val="00362DEF"/>
    <w:rsid w:val="00372A85"/>
    <w:rsid w:val="00382BB8"/>
    <w:rsid w:val="003916BA"/>
    <w:rsid w:val="003916C6"/>
    <w:rsid w:val="003936C6"/>
    <w:rsid w:val="003966AA"/>
    <w:rsid w:val="00396FAA"/>
    <w:rsid w:val="003A61F9"/>
    <w:rsid w:val="003B53F0"/>
    <w:rsid w:val="003B7145"/>
    <w:rsid w:val="003C67C9"/>
    <w:rsid w:val="003F4356"/>
    <w:rsid w:val="004124A3"/>
    <w:rsid w:val="004151CA"/>
    <w:rsid w:val="00421953"/>
    <w:rsid w:val="004240C4"/>
    <w:rsid w:val="00427F80"/>
    <w:rsid w:val="00435C0A"/>
    <w:rsid w:val="00441C7A"/>
    <w:rsid w:val="00444FD7"/>
    <w:rsid w:val="004518B4"/>
    <w:rsid w:val="004632EE"/>
    <w:rsid w:val="00471F41"/>
    <w:rsid w:val="00484CAA"/>
    <w:rsid w:val="00485D11"/>
    <w:rsid w:val="00490C0B"/>
    <w:rsid w:val="004B3B5F"/>
    <w:rsid w:val="004B7CC0"/>
    <w:rsid w:val="004C5B6A"/>
    <w:rsid w:val="004C6CA6"/>
    <w:rsid w:val="004C7B15"/>
    <w:rsid w:val="004E12D9"/>
    <w:rsid w:val="004E4F04"/>
    <w:rsid w:val="004E4F84"/>
    <w:rsid w:val="004F6DF1"/>
    <w:rsid w:val="00503022"/>
    <w:rsid w:val="005062D7"/>
    <w:rsid w:val="0050781F"/>
    <w:rsid w:val="00511588"/>
    <w:rsid w:val="00512E93"/>
    <w:rsid w:val="00530770"/>
    <w:rsid w:val="005555FE"/>
    <w:rsid w:val="0057104A"/>
    <w:rsid w:val="00571B48"/>
    <w:rsid w:val="00571EC2"/>
    <w:rsid w:val="00580240"/>
    <w:rsid w:val="00581BFB"/>
    <w:rsid w:val="00583250"/>
    <w:rsid w:val="00585D68"/>
    <w:rsid w:val="005861FB"/>
    <w:rsid w:val="005A6216"/>
    <w:rsid w:val="005A6646"/>
    <w:rsid w:val="005B5C30"/>
    <w:rsid w:val="005B7E11"/>
    <w:rsid w:val="005D4EBA"/>
    <w:rsid w:val="005E2D59"/>
    <w:rsid w:val="005F2158"/>
    <w:rsid w:val="0060235C"/>
    <w:rsid w:val="00604281"/>
    <w:rsid w:val="0060645B"/>
    <w:rsid w:val="006147B0"/>
    <w:rsid w:val="00617751"/>
    <w:rsid w:val="00621B7F"/>
    <w:rsid w:val="006229C7"/>
    <w:rsid w:val="00627D11"/>
    <w:rsid w:val="0064032B"/>
    <w:rsid w:val="006409EC"/>
    <w:rsid w:val="006411D1"/>
    <w:rsid w:val="0064735D"/>
    <w:rsid w:val="00656986"/>
    <w:rsid w:val="00664582"/>
    <w:rsid w:val="00673536"/>
    <w:rsid w:val="0068609C"/>
    <w:rsid w:val="0068684C"/>
    <w:rsid w:val="00690335"/>
    <w:rsid w:val="006A0564"/>
    <w:rsid w:val="006A1537"/>
    <w:rsid w:val="006C339B"/>
    <w:rsid w:val="006D1175"/>
    <w:rsid w:val="006E1617"/>
    <w:rsid w:val="006F2556"/>
    <w:rsid w:val="006F3125"/>
    <w:rsid w:val="00706368"/>
    <w:rsid w:val="00732992"/>
    <w:rsid w:val="00732B18"/>
    <w:rsid w:val="00740A4D"/>
    <w:rsid w:val="00744FE0"/>
    <w:rsid w:val="007607AE"/>
    <w:rsid w:val="00760896"/>
    <w:rsid w:val="00763504"/>
    <w:rsid w:val="007654E2"/>
    <w:rsid w:val="00767DC4"/>
    <w:rsid w:val="00774F56"/>
    <w:rsid w:val="00776AB5"/>
    <w:rsid w:val="00780E2A"/>
    <w:rsid w:val="00794650"/>
    <w:rsid w:val="007A0D36"/>
    <w:rsid w:val="007B01B0"/>
    <w:rsid w:val="007B0CAD"/>
    <w:rsid w:val="007B6803"/>
    <w:rsid w:val="007C3E3A"/>
    <w:rsid w:val="007D1EC5"/>
    <w:rsid w:val="007E332A"/>
    <w:rsid w:val="007E3EEE"/>
    <w:rsid w:val="007F1E65"/>
    <w:rsid w:val="007F55B3"/>
    <w:rsid w:val="008135FE"/>
    <w:rsid w:val="00813F86"/>
    <w:rsid w:val="00814EC0"/>
    <w:rsid w:val="00820C23"/>
    <w:rsid w:val="0082373E"/>
    <w:rsid w:val="008241B1"/>
    <w:rsid w:val="0082686B"/>
    <w:rsid w:val="00830CD1"/>
    <w:rsid w:val="008474FC"/>
    <w:rsid w:val="00847D92"/>
    <w:rsid w:val="00860960"/>
    <w:rsid w:val="008712BD"/>
    <w:rsid w:val="008759C2"/>
    <w:rsid w:val="00887881"/>
    <w:rsid w:val="008903C8"/>
    <w:rsid w:val="00890CA7"/>
    <w:rsid w:val="0089425D"/>
    <w:rsid w:val="0089722D"/>
    <w:rsid w:val="008B46EC"/>
    <w:rsid w:val="008B6955"/>
    <w:rsid w:val="008B6C66"/>
    <w:rsid w:val="008C0A0E"/>
    <w:rsid w:val="008C5CA7"/>
    <w:rsid w:val="008C7562"/>
    <w:rsid w:val="008D1E6D"/>
    <w:rsid w:val="009172D6"/>
    <w:rsid w:val="00927069"/>
    <w:rsid w:val="00927F3F"/>
    <w:rsid w:val="00931DF9"/>
    <w:rsid w:val="009556D8"/>
    <w:rsid w:val="00965904"/>
    <w:rsid w:val="00982835"/>
    <w:rsid w:val="00984891"/>
    <w:rsid w:val="00995610"/>
    <w:rsid w:val="00995FC7"/>
    <w:rsid w:val="00996FAF"/>
    <w:rsid w:val="009A3CDD"/>
    <w:rsid w:val="009B690E"/>
    <w:rsid w:val="009B795D"/>
    <w:rsid w:val="009C629D"/>
    <w:rsid w:val="009D69F1"/>
    <w:rsid w:val="009D6FF1"/>
    <w:rsid w:val="009E6D7C"/>
    <w:rsid w:val="009F2F47"/>
    <w:rsid w:val="00A14325"/>
    <w:rsid w:val="00A17109"/>
    <w:rsid w:val="00A25215"/>
    <w:rsid w:val="00A32BE0"/>
    <w:rsid w:val="00A51EA0"/>
    <w:rsid w:val="00A524B2"/>
    <w:rsid w:val="00A54D3F"/>
    <w:rsid w:val="00A657C2"/>
    <w:rsid w:val="00A72679"/>
    <w:rsid w:val="00A76BDA"/>
    <w:rsid w:val="00A7763E"/>
    <w:rsid w:val="00A824C6"/>
    <w:rsid w:val="00A9490D"/>
    <w:rsid w:val="00AA089F"/>
    <w:rsid w:val="00AA2A10"/>
    <w:rsid w:val="00AB0339"/>
    <w:rsid w:val="00AB5733"/>
    <w:rsid w:val="00AB7525"/>
    <w:rsid w:val="00AC173E"/>
    <w:rsid w:val="00AD4BFF"/>
    <w:rsid w:val="00AE1E9E"/>
    <w:rsid w:val="00AF0389"/>
    <w:rsid w:val="00B005A3"/>
    <w:rsid w:val="00B05976"/>
    <w:rsid w:val="00B07321"/>
    <w:rsid w:val="00B11BEB"/>
    <w:rsid w:val="00B21565"/>
    <w:rsid w:val="00B235DB"/>
    <w:rsid w:val="00B330A8"/>
    <w:rsid w:val="00B460BD"/>
    <w:rsid w:val="00B46208"/>
    <w:rsid w:val="00B535DC"/>
    <w:rsid w:val="00B55000"/>
    <w:rsid w:val="00B63EF1"/>
    <w:rsid w:val="00B67D2B"/>
    <w:rsid w:val="00B800B8"/>
    <w:rsid w:val="00B910DB"/>
    <w:rsid w:val="00B93C48"/>
    <w:rsid w:val="00BA7880"/>
    <w:rsid w:val="00BA7EA7"/>
    <w:rsid w:val="00BC0705"/>
    <w:rsid w:val="00BD07EF"/>
    <w:rsid w:val="00BD101E"/>
    <w:rsid w:val="00BD4834"/>
    <w:rsid w:val="00BF39B7"/>
    <w:rsid w:val="00BF6FBF"/>
    <w:rsid w:val="00C001FC"/>
    <w:rsid w:val="00C01234"/>
    <w:rsid w:val="00C15220"/>
    <w:rsid w:val="00C16416"/>
    <w:rsid w:val="00C24378"/>
    <w:rsid w:val="00C4284A"/>
    <w:rsid w:val="00C42FF2"/>
    <w:rsid w:val="00C43912"/>
    <w:rsid w:val="00C57BFA"/>
    <w:rsid w:val="00C653CE"/>
    <w:rsid w:val="00C67E3E"/>
    <w:rsid w:val="00C67F2B"/>
    <w:rsid w:val="00C73B97"/>
    <w:rsid w:val="00C973D8"/>
    <w:rsid w:val="00CA36D8"/>
    <w:rsid w:val="00CB1838"/>
    <w:rsid w:val="00CC421E"/>
    <w:rsid w:val="00CD4289"/>
    <w:rsid w:val="00CE1AAD"/>
    <w:rsid w:val="00CE2740"/>
    <w:rsid w:val="00CE4D64"/>
    <w:rsid w:val="00CF6062"/>
    <w:rsid w:val="00CF6C46"/>
    <w:rsid w:val="00D03C27"/>
    <w:rsid w:val="00D072A5"/>
    <w:rsid w:val="00D105AF"/>
    <w:rsid w:val="00D11D06"/>
    <w:rsid w:val="00D25097"/>
    <w:rsid w:val="00D362D1"/>
    <w:rsid w:val="00D40B79"/>
    <w:rsid w:val="00D43B12"/>
    <w:rsid w:val="00D5686A"/>
    <w:rsid w:val="00D575E0"/>
    <w:rsid w:val="00D57D54"/>
    <w:rsid w:val="00D74DFB"/>
    <w:rsid w:val="00D75A57"/>
    <w:rsid w:val="00D97922"/>
    <w:rsid w:val="00DA1F82"/>
    <w:rsid w:val="00DA462A"/>
    <w:rsid w:val="00DB2077"/>
    <w:rsid w:val="00DB280D"/>
    <w:rsid w:val="00DC12C0"/>
    <w:rsid w:val="00DC2317"/>
    <w:rsid w:val="00DD187E"/>
    <w:rsid w:val="00DD1A4A"/>
    <w:rsid w:val="00DD5D9A"/>
    <w:rsid w:val="00DE0DA1"/>
    <w:rsid w:val="00DE17A4"/>
    <w:rsid w:val="00DF5353"/>
    <w:rsid w:val="00E136A5"/>
    <w:rsid w:val="00E1740E"/>
    <w:rsid w:val="00E30B21"/>
    <w:rsid w:val="00E502C8"/>
    <w:rsid w:val="00E50DFE"/>
    <w:rsid w:val="00E71749"/>
    <w:rsid w:val="00E90304"/>
    <w:rsid w:val="00E91934"/>
    <w:rsid w:val="00E91BF8"/>
    <w:rsid w:val="00E95C0B"/>
    <w:rsid w:val="00EA169F"/>
    <w:rsid w:val="00EA6057"/>
    <w:rsid w:val="00EC0DFB"/>
    <w:rsid w:val="00EC1378"/>
    <w:rsid w:val="00EC1E57"/>
    <w:rsid w:val="00EE01AA"/>
    <w:rsid w:val="00EE3C79"/>
    <w:rsid w:val="00EE422B"/>
    <w:rsid w:val="00EF4482"/>
    <w:rsid w:val="00F00448"/>
    <w:rsid w:val="00F105CF"/>
    <w:rsid w:val="00F16DB7"/>
    <w:rsid w:val="00F17F46"/>
    <w:rsid w:val="00F3050C"/>
    <w:rsid w:val="00F323E3"/>
    <w:rsid w:val="00F5478E"/>
    <w:rsid w:val="00F553F1"/>
    <w:rsid w:val="00F66EF0"/>
    <w:rsid w:val="00F71626"/>
    <w:rsid w:val="00F74BB3"/>
    <w:rsid w:val="00F76124"/>
    <w:rsid w:val="00F8110E"/>
    <w:rsid w:val="00F81E50"/>
    <w:rsid w:val="00F933A1"/>
    <w:rsid w:val="00F978C9"/>
    <w:rsid w:val="00FA0CE4"/>
    <w:rsid w:val="00FA5833"/>
    <w:rsid w:val="00FA6FD8"/>
    <w:rsid w:val="00FB0125"/>
    <w:rsid w:val="00FB3FFA"/>
    <w:rsid w:val="00FB6F0F"/>
    <w:rsid w:val="00FB7FCA"/>
    <w:rsid w:val="00FC3DEF"/>
    <w:rsid w:val="00FE79A9"/>
    <w:rsid w:val="00FF12BD"/>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C050"/>
  <w15:docId w15:val="{E2B71E36-A4A3-4955-9CAF-3A96C7E9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E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F1E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F1E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F1E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F1E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F1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F1E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F1E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F1E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F1E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F1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E65"/>
    <w:rPr>
      <w:rFonts w:eastAsiaTheme="majorEastAsia" w:cstheme="majorBidi"/>
      <w:color w:val="272727" w:themeColor="text1" w:themeTint="D8"/>
    </w:rPr>
  </w:style>
  <w:style w:type="paragraph" w:styleId="Title">
    <w:name w:val="Title"/>
    <w:basedOn w:val="Normal"/>
    <w:next w:val="Normal"/>
    <w:link w:val="TitleChar"/>
    <w:uiPriority w:val="10"/>
    <w:qFormat/>
    <w:rsid w:val="007F1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E65"/>
    <w:pPr>
      <w:spacing w:before="160"/>
      <w:jc w:val="center"/>
    </w:pPr>
    <w:rPr>
      <w:i/>
      <w:iCs/>
      <w:color w:val="404040" w:themeColor="text1" w:themeTint="BF"/>
    </w:rPr>
  </w:style>
  <w:style w:type="character" w:customStyle="1" w:styleId="QuoteChar">
    <w:name w:val="Quote Char"/>
    <w:basedOn w:val="DefaultParagraphFont"/>
    <w:link w:val="Quote"/>
    <w:uiPriority w:val="29"/>
    <w:rsid w:val="007F1E65"/>
    <w:rPr>
      <w:i/>
      <w:iCs/>
      <w:color w:val="404040" w:themeColor="text1" w:themeTint="BF"/>
    </w:rPr>
  </w:style>
  <w:style w:type="paragraph" w:styleId="ListParagraph">
    <w:name w:val="List Paragraph"/>
    <w:basedOn w:val="Normal"/>
    <w:uiPriority w:val="34"/>
    <w:qFormat/>
    <w:rsid w:val="007F1E65"/>
    <w:pPr>
      <w:ind w:left="720"/>
      <w:contextualSpacing/>
    </w:pPr>
  </w:style>
  <w:style w:type="character" w:styleId="IntenseEmphasis">
    <w:name w:val="Intense Emphasis"/>
    <w:basedOn w:val="DefaultParagraphFont"/>
    <w:uiPriority w:val="21"/>
    <w:qFormat/>
    <w:rsid w:val="007F1E65"/>
    <w:rPr>
      <w:i/>
      <w:iCs/>
      <w:color w:val="2E74B5" w:themeColor="accent1" w:themeShade="BF"/>
    </w:rPr>
  </w:style>
  <w:style w:type="paragraph" w:styleId="IntenseQuote">
    <w:name w:val="Intense Quote"/>
    <w:basedOn w:val="Normal"/>
    <w:next w:val="Normal"/>
    <w:link w:val="IntenseQuoteChar"/>
    <w:uiPriority w:val="30"/>
    <w:qFormat/>
    <w:rsid w:val="007F1E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1E65"/>
    <w:rPr>
      <w:i/>
      <w:iCs/>
      <w:color w:val="2E74B5" w:themeColor="accent1" w:themeShade="BF"/>
    </w:rPr>
  </w:style>
  <w:style w:type="character" w:styleId="IntenseReference">
    <w:name w:val="Intense Reference"/>
    <w:basedOn w:val="DefaultParagraphFont"/>
    <w:uiPriority w:val="32"/>
    <w:qFormat/>
    <w:rsid w:val="007F1E65"/>
    <w:rPr>
      <w:b/>
      <w:bCs/>
      <w:smallCaps/>
      <w:color w:val="2E74B5" w:themeColor="accent1" w:themeShade="BF"/>
      <w:spacing w:val="5"/>
    </w:rPr>
  </w:style>
  <w:style w:type="table" w:styleId="TableGrid">
    <w:name w:val="Table Grid"/>
    <w:basedOn w:val="TableNormal"/>
    <w:uiPriority w:val="39"/>
    <w:rsid w:val="00FB3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2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8F3"/>
    <w:rPr>
      <w:sz w:val="20"/>
      <w:szCs w:val="20"/>
    </w:rPr>
  </w:style>
  <w:style w:type="character" w:styleId="FootnoteReference">
    <w:name w:val="footnote reference"/>
    <w:basedOn w:val="DefaultParagraphFont"/>
    <w:uiPriority w:val="99"/>
    <w:semiHidden/>
    <w:unhideWhenUsed/>
    <w:rsid w:val="000E28F3"/>
    <w:rPr>
      <w:vertAlign w:val="superscript"/>
    </w:rPr>
  </w:style>
  <w:style w:type="paragraph" w:styleId="Header">
    <w:name w:val="header"/>
    <w:basedOn w:val="Normal"/>
    <w:link w:val="HeaderChar"/>
    <w:uiPriority w:val="99"/>
    <w:unhideWhenUsed/>
    <w:rsid w:val="008C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562"/>
  </w:style>
  <w:style w:type="paragraph" w:styleId="Footer">
    <w:name w:val="footer"/>
    <w:basedOn w:val="Normal"/>
    <w:link w:val="FooterChar"/>
    <w:uiPriority w:val="99"/>
    <w:unhideWhenUsed/>
    <w:rsid w:val="008C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31388-466D-44D2-B40C-AF850B5D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9</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Th? Thanh L?i</dc:creator>
  <cp:keywords/>
  <dc:description/>
  <cp:lastModifiedBy>Admin</cp:lastModifiedBy>
  <cp:revision>212</cp:revision>
  <cp:lastPrinted>2026-04-08T04:36:00Z</cp:lastPrinted>
  <dcterms:created xsi:type="dcterms:W3CDTF">2026-02-25T03:43:00Z</dcterms:created>
  <dcterms:modified xsi:type="dcterms:W3CDTF">2026-06-23T02:25:00Z</dcterms:modified>
</cp:coreProperties>
</file>