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3B44F" w14:textId="65339CA2" w:rsidR="0034713E" w:rsidRPr="00482B1C" w:rsidRDefault="008F6168" w:rsidP="009C19DA">
      <w:pPr>
        <w:pStyle w:val="Heading4"/>
        <w:rPr>
          <w:color w:val="000000" w:themeColor="text1"/>
          <w:sz w:val="28"/>
        </w:rPr>
      </w:pPr>
      <w:r w:rsidRPr="00482B1C">
        <w:rPr>
          <w:color w:val="000000" w:themeColor="text1"/>
          <w:sz w:val="28"/>
        </w:rPr>
        <w:t>Phụ lục</w:t>
      </w:r>
    </w:p>
    <w:p w14:paraId="12ABB698" w14:textId="77777777" w:rsidR="002E0C44" w:rsidRPr="00482B1C" w:rsidRDefault="008F6168" w:rsidP="00A45408">
      <w:pPr>
        <w:jc w:val="center"/>
        <w:rPr>
          <w:b/>
          <w:color w:val="000000" w:themeColor="text1"/>
          <w:spacing w:val="-4"/>
        </w:rPr>
      </w:pPr>
      <w:r w:rsidRPr="00482B1C">
        <w:rPr>
          <w:b/>
          <w:color w:val="000000" w:themeColor="text1"/>
          <w:spacing w:val="-4"/>
        </w:rPr>
        <w:t xml:space="preserve">Dự kiến kinh phí bố trí thực hiện </w:t>
      </w:r>
      <w:r w:rsidR="00A45408" w:rsidRPr="00482B1C">
        <w:rPr>
          <w:b/>
          <w:color w:val="000000" w:themeColor="text1"/>
          <w:spacing w:val="-4"/>
        </w:rPr>
        <w:t>chính sách thu hút, hỗ trợ đào tạo</w:t>
      </w:r>
    </w:p>
    <w:p w14:paraId="61D1C5D1" w14:textId="301AE40E" w:rsidR="009C19DA" w:rsidRPr="00482B1C" w:rsidRDefault="00A45408" w:rsidP="00A45408">
      <w:pPr>
        <w:jc w:val="center"/>
        <w:rPr>
          <w:b/>
          <w:color w:val="000000" w:themeColor="text1"/>
          <w:spacing w:val="-4"/>
        </w:rPr>
      </w:pPr>
      <w:r w:rsidRPr="00482B1C">
        <w:rPr>
          <w:b/>
          <w:color w:val="000000" w:themeColor="text1"/>
          <w:spacing w:val="-4"/>
        </w:rPr>
        <w:t>phát triển nguồn nhân lực</w:t>
      </w:r>
      <w:r w:rsidR="002E0C44" w:rsidRPr="00482B1C">
        <w:rPr>
          <w:b/>
          <w:color w:val="000000" w:themeColor="text1"/>
          <w:spacing w:val="-4"/>
        </w:rPr>
        <w:t xml:space="preserve"> </w:t>
      </w:r>
      <w:r w:rsidRPr="00482B1C">
        <w:rPr>
          <w:b/>
          <w:color w:val="000000" w:themeColor="text1"/>
          <w:spacing w:val="-4"/>
        </w:rPr>
        <w:t>chất lượng cao của tỉnh Đắk Lắk</w:t>
      </w:r>
    </w:p>
    <w:p w14:paraId="70AC9F7F" w14:textId="151022BB" w:rsidR="008F6168" w:rsidRPr="00482B1C" w:rsidRDefault="008F6168" w:rsidP="003B5C34">
      <w:pPr>
        <w:jc w:val="center"/>
        <w:rPr>
          <w:bCs/>
          <w:i/>
          <w:iCs/>
          <w:color w:val="000000" w:themeColor="text1"/>
        </w:rPr>
      </w:pPr>
      <w:r w:rsidRPr="00482B1C">
        <w:rPr>
          <w:bCs/>
          <w:i/>
          <w:iCs/>
          <w:color w:val="000000" w:themeColor="text1"/>
          <w:spacing w:val="-4"/>
        </w:rPr>
        <w:t>(Kèm theo Tờ trình số ………/TTr-UBND ngày …./…./2026 của UBND tỉnh)</w:t>
      </w:r>
    </w:p>
    <w:p w14:paraId="479EC5FB" w14:textId="6BEF392B" w:rsidR="00B26AC2" w:rsidRPr="00482B1C" w:rsidRDefault="00631CC8" w:rsidP="009C19DA">
      <w:pPr>
        <w:jc w:val="center"/>
        <w:rPr>
          <w:color w:val="000000" w:themeColor="text1"/>
        </w:rPr>
      </w:pPr>
      <w:r w:rsidRPr="00482B1C">
        <w:rPr>
          <w:b/>
          <w:noProof/>
          <w:color w:val="000000" w:themeColor="text1"/>
        </w:rPr>
        <mc:AlternateContent>
          <mc:Choice Requires="wps">
            <w:drawing>
              <wp:anchor distT="0" distB="0" distL="114300" distR="114300" simplePos="0" relativeHeight="251658240" behindDoc="0" locked="0" layoutInCell="1" allowOverlap="1" wp14:anchorId="68E80F38" wp14:editId="6D157D0E">
                <wp:simplePos x="0" y="0"/>
                <wp:positionH relativeFrom="margin">
                  <wp:posOffset>2286635</wp:posOffset>
                </wp:positionH>
                <wp:positionV relativeFrom="paragraph">
                  <wp:posOffset>60325</wp:posOffset>
                </wp:positionV>
                <wp:extent cx="1186815" cy="0"/>
                <wp:effectExtent l="0" t="0" r="0" b="0"/>
                <wp:wrapNone/>
                <wp:docPr id="7908558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6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68278" id="Line 4"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05pt,4.75pt" to="27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">
                <w10:wrap anchorx="margin"/>
              </v:line>
            </w:pict>
          </mc:Fallback>
        </mc:AlternateContent>
      </w:r>
    </w:p>
    <w:p w14:paraId="117F0CBE" w14:textId="77777777" w:rsidR="00303659" w:rsidRPr="00482B1C" w:rsidRDefault="00303659" w:rsidP="009C19DA">
      <w:pPr>
        <w:jc w:val="center"/>
        <w:rPr>
          <w:color w:val="000000" w:themeColor="text1"/>
        </w:rPr>
      </w:pPr>
    </w:p>
    <w:p w14:paraId="40E5B5DF" w14:textId="6FEF457F" w:rsidR="00435A84" w:rsidRPr="00482B1C" w:rsidRDefault="00132E81" w:rsidP="00435A84">
      <w:pPr>
        <w:spacing w:before="120" w:after="120" w:line="276" w:lineRule="auto"/>
        <w:ind w:firstLine="709"/>
        <w:jc w:val="both"/>
        <w:rPr>
          <w:b/>
          <w:bCs/>
          <w:iCs/>
          <w:lang w:val="vi-VN"/>
        </w:rPr>
      </w:pPr>
      <w:r w:rsidRPr="00482B1C">
        <w:rPr>
          <w:b/>
          <w:bCs/>
        </w:rPr>
        <w:t>1</w:t>
      </w:r>
      <w:r w:rsidR="00435A84" w:rsidRPr="00482B1C">
        <w:rPr>
          <w:b/>
          <w:bCs/>
          <w:lang w:val="vi-VN"/>
        </w:rPr>
        <w:t xml:space="preserve">. </w:t>
      </w:r>
      <w:r w:rsidR="005024CD" w:rsidRPr="00482B1C">
        <w:rPr>
          <w:b/>
          <w:bCs/>
        </w:rPr>
        <w:t>Đánh giá</w:t>
      </w:r>
      <w:r w:rsidR="000B1602" w:rsidRPr="00482B1C">
        <w:rPr>
          <w:b/>
          <w:bCs/>
        </w:rPr>
        <w:t xml:space="preserve"> một số</w:t>
      </w:r>
      <w:r w:rsidR="00435A84" w:rsidRPr="00482B1C">
        <w:rPr>
          <w:b/>
          <w:bCs/>
          <w:lang w:val="vi-VN"/>
        </w:rPr>
        <w:t xml:space="preserve"> nội dung liên quan</w:t>
      </w:r>
      <w:r w:rsidR="00435A84" w:rsidRPr="00482B1C">
        <w:rPr>
          <w:b/>
          <w:bCs/>
          <w:iCs/>
          <w:lang w:val="vi-VN"/>
        </w:rPr>
        <w:t xml:space="preserve"> mức hỗ trợ và chính sách hỗ trợ</w:t>
      </w:r>
    </w:p>
    <w:p w14:paraId="477EFE6F" w14:textId="0E1A2C6E" w:rsidR="00435A84" w:rsidRPr="00482B1C" w:rsidRDefault="00435A84" w:rsidP="00435A84">
      <w:pPr>
        <w:spacing w:before="120" w:after="120" w:line="276" w:lineRule="auto"/>
        <w:ind w:firstLine="709"/>
        <w:jc w:val="both"/>
        <w:rPr>
          <w:bCs/>
          <w:iCs/>
          <w:spacing w:val="-2"/>
          <w:lang w:val="vi-VN"/>
        </w:rPr>
      </w:pPr>
      <w:r w:rsidRPr="00482B1C">
        <w:rPr>
          <w:bCs/>
          <w:iCs/>
          <w:spacing w:val="-2"/>
          <w:lang w:val="vi-VN"/>
        </w:rPr>
        <w:t xml:space="preserve">Hiện nay, nguồn nhân lực chất lượng cao, đặc biệt là nguồn nhân lực chất lượng cao trong các lĩnh vực khoa học, công nghệ, đổi mới, sáng tạo và chuyển đổi </w:t>
      </w:r>
      <w:r w:rsidR="007B113C" w:rsidRPr="00482B1C">
        <w:rPr>
          <w:bCs/>
          <w:iCs/>
          <w:spacing w:val="-2"/>
          <w:lang w:val="vi-VN"/>
        </w:rPr>
        <w:t xml:space="preserve">số </w:t>
      </w:r>
      <w:r w:rsidRPr="00482B1C">
        <w:rPr>
          <w:bCs/>
          <w:iCs/>
          <w:spacing w:val="-2"/>
          <w:lang w:val="vi-VN"/>
        </w:rPr>
        <w:t>tại các cơ quan, đơn vị trong khu vực công rất ít. Trên thị trường lao động có sự cạnh tranh cao để thu hút nguồn nhân lực chất lượng cao và sự cạnh tranh này xuất phát từ cả khu vực công và khu vực tư. Do đó, để thu hút nguồn nhân lực chất lượng cao cần có các chính sách đãi ngộ xứng đáng, có sức thu hút và cạnh tranh.</w:t>
      </w:r>
    </w:p>
    <w:p w14:paraId="39C5F32C" w14:textId="60658DBF" w:rsidR="006A3290" w:rsidRPr="00482B1C" w:rsidRDefault="00435A84" w:rsidP="006A3290">
      <w:pPr>
        <w:spacing w:before="120" w:after="120" w:line="276" w:lineRule="auto"/>
        <w:ind w:firstLine="709"/>
        <w:jc w:val="both"/>
        <w:rPr>
          <w:bCs/>
          <w:iCs/>
          <w:lang w:val="vi-VN"/>
        </w:rPr>
      </w:pPr>
      <w:r w:rsidRPr="00482B1C">
        <w:rPr>
          <w:bCs/>
          <w:iCs/>
          <w:lang w:val="vi-VN"/>
        </w:rPr>
        <w:t>Qua khảo sát về chính sách thu hút nguồn nhân lực</w:t>
      </w:r>
      <w:r w:rsidR="004250DD" w:rsidRPr="00482B1C">
        <w:rPr>
          <w:bCs/>
          <w:iCs/>
          <w:lang w:val="vi-VN"/>
        </w:rPr>
        <w:t xml:space="preserve"> chất lượng</w:t>
      </w:r>
      <w:r w:rsidRPr="00482B1C">
        <w:rPr>
          <w:bCs/>
          <w:iCs/>
          <w:lang w:val="vi-VN"/>
        </w:rPr>
        <w:t xml:space="preserve"> cao tại các địa phương trên cả nước thì chính sách hỗ trợ ban đầu khi thu hút trung bình khoảng 775 triệu đồng</w:t>
      </w:r>
      <w:r w:rsidRPr="00482B1C">
        <w:rPr>
          <w:rStyle w:val="FootnoteReference"/>
          <w:bCs/>
          <w:iCs/>
        </w:rPr>
        <w:footnoteReference w:id="1"/>
      </w:r>
      <w:r w:rsidRPr="00482B1C">
        <w:rPr>
          <w:bCs/>
          <w:iCs/>
          <w:lang w:val="vi-VN"/>
        </w:rPr>
        <w:t>; chính sách hỗ trợ thuê nhà hàng tháng trung bình khoảng 12 triệu đồng</w:t>
      </w:r>
      <w:r w:rsidRPr="00482B1C">
        <w:rPr>
          <w:rStyle w:val="FootnoteReference"/>
          <w:bCs/>
          <w:iCs/>
        </w:rPr>
        <w:footnoteReference w:id="2"/>
      </w:r>
      <w:r w:rsidR="006A3290" w:rsidRPr="00482B1C">
        <w:rPr>
          <w:bCs/>
          <w:iCs/>
          <w:lang w:val="vi-VN"/>
        </w:rPr>
        <w:t>; Đồng thời, tại cuộc họp ngày 24/6/2026, Ban Thường vụ Tỉnh ủy đã xem xét nội dung dự thảo Nghị quyết của HĐND tỉnh quy định chính sách thu hút nguồn nhân lực chất lượng cao của tỉnh Đắk Lắk và có ý kiến chỉ đạo tiếp tục rà soát, nghiên cứu tăng mức đãi ngộ chính sách của tỉnh đảm bảo có sức cạnh tranh</w:t>
      </w:r>
      <w:r w:rsidR="000C6FC3" w:rsidRPr="00482B1C">
        <w:rPr>
          <w:bCs/>
          <w:iCs/>
          <w:lang w:val="vi-VN"/>
        </w:rPr>
        <w:t xml:space="preserve"> để</w:t>
      </w:r>
      <w:r w:rsidR="006A3290" w:rsidRPr="00482B1C">
        <w:rPr>
          <w:bCs/>
          <w:iCs/>
          <w:lang w:val="vi-VN"/>
        </w:rPr>
        <w:t xml:space="preserve"> thu hút được nguồn nhân lực chất lượng cao</w:t>
      </w:r>
      <w:r w:rsidR="000C6FC3" w:rsidRPr="00482B1C">
        <w:rPr>
          <w:bCs/>
          <w:iCs/>
          <w:lang w:val="vi-VN"/>
        </w:rPr>
        <w:t xml:space="preserve"> và</w:t>
      </w:r>
      <w:r w:rsidR="006A3290" w:rsidRPr="00482B1C">
        <w:rPr>
          <w:bCs/>
          <w:iCs/>
          <w:lang w:val="vi-VN"/>
        </w:rPr>
        <w:t xml:space="preserve"> bổ sung thêm một số nội dung trong chính sách</w:t>
      </w:r>
      <w:r w:rsidR="000C6FC3" w:rsidRPr="00482B1C">
        <w:rPr>
          <w:bCs/>
          <w:iCs/>
          <w:lang w:val="vi-VN"/>
        </w:rPr>
        <w:t>.</w:t>
      </w:r>
    </w:p>
    <w:p w14:paraId="772B6C4C" w14:textId="77777777" w:rsidR="009D7660" w:rsidRPr="00482B1C" w:rsidRDefault="00435A84" w:rsidP="00435A84">
      <w:pPr>
        <w:spacing w:before="120" w:after="120" w:line="276" w:lineRule="auto"/>
        <w:ind w:firstLine="709"/>
        <w:jc w:val="both"/>
        <w:rPr>
          <w:bCs/>
          <w:iCs/>
          <w:lang w:val="vi-VN"/>
        </w:rPr>
      </w:pPr>
      <w:r w:rsidRPr="00482B1C">
        <w:rPr>
          <w:bCs/>
          <w:iCs/>
          <w:lang w:val="vi-VN"/>
        </w:rPr>
        <w:t>Do đó, cơ quan soạn thảo</w:t>
      </w:r>
      <w:r w:rsidR="00024A02" w:rsidRPr="00482B1C">
        <w:rPr>
          <w:bCs/>
          <w:iCs/>
          <w:lang w:val="vi-VN"/>
        </w:rPr>
        <w:t xml:space="preserve"> đã tiếp tục nghiên cứu và</w:t>
      </w:r>
      <w:r w:rsidRPr="00482B1C">
        <w:rPr>
          <w:bCs/>
          <w:iCs/>
          <w:lang w:val="vi-VN"/>
        </w:rPr>
        <w:t xml:space="preserve"> đề xuất </w:t>
      </w:r>
      <w:r w:rsidR="00024A02" w:rsidRPr="00482B1C">
        <w:rPr>
          <w:bCs/>
          <w:iCs/>
          <w:lang w:val="vi-VN"/>
        </w:rPr>
        <w:t xml:space="preserve">mở rộng nội dung chính sách từ thu hút, đãi ngộ đến phát triển nguồn nhân lực chất lượng cao của tỉnh. </w:t>
      </w:r>
    </w:p>
    <w:p w14:paraId="2D520458" w14:textId="77777777" w:rsidR="009D7660" w:rsidRPr="00482B1C" w:rsidRDefault="007A3B28" w:rsidP="00435A84">
      <w:pPr>
        <w:spacing w:before="120" w:after="120" w:line="276" w:lineRule="auto"/>
        <w:ind w:firstLine="709"/>
        <w:jc w:val="both"/>
        <w:rPr>
          <w:bCs/>
          <w:iCs/>
          <w:lang w:val="vi-VN"/>
        </w:rPr>
      </w:pPr>
      <w:r w:rsidRPr="00482B1C">
        <w:rPr>
          <w:bCs/>
          <w:iCs/>
          <w:lang w:val="vi-VN"/>
        </w:rPr>
        <w:t>Đối với việc thu hút:</w:t>
      </w:r>
    </w:p>
    <w:p w14:paraId="55234709" w14:textId="68DD4C36" w:rsidR="008B58CD" w:rsidRPr="00482B1C" w:rsidRDefault="008B58CD" w:rsidP="00435A84">
      <w:pPr>
        <w:spacing w:before="120" w:after="120" w:line="276" w:lineRule="auto"/>
        <w:ind w:firstLine="709"/>
        <w:jc w:val="both"/>
        <w:rPr>
          <w:bCs/>
          <w:iCs/>
          <w:lang w:val="vi-VN"/>
        </w:rPr>
      </w:pPr>
      <w:r w:rsidRPr="00482B1C">
        <w:rPr>
          <w:bCs/>
          <w:iCs/>
          <w:lang w:val="vi-VN"/>
        </w:rPr>
        <w:t>(1)</w:t>
      </w:r>
      <w:r w:rsidR="009D7660" w:rsidRPr="00482B1C">
        <w:rPr>
          <w:bCs/>
          <w:iCs/>
          <w:lang w:val="vi-VN"/>
        </w:rPr>
        <w:t xml:space="preserve"> </w:t>
      </w:r>
      <w:r w:rsidR="007A3B28" w:rsidRPr="00482B1C">
        <w:rPr>
          <w:bCs/>
          <w:iCs/>
          <w:lang w:val="vi-VN"/>
        </w:rPr>
        <w:t>C</w:t>
      </w:r>
      <w:r w:rsidR="00435A84" w:rsidRPr="00482B1C">
        <w:rPr>
          <w:bCs/>
          <w:iCs/>
          <w:lang w:val="vi-VN"/>
        </w:rPr>
        <w:t xml:space="preserve">hính sách hỗ trợ ban đầu khi thu hút tùy theo trình độ, học hàm, học vị khoảng từ </w:t>
      </w:r>
      <w:r w:rsidR="006A3290" w:rsidRPr="00482B1C">
        <w:rPr>
          <w:bCs/>
          <w:iCs/>
          <w:lang w:val="vi-VN"/>
        </w:rPr>
        <w:t>500</w:t>
      </w:r>
      <w:r w:rsidR="00435A84" w:rsidRPr="00482B1C">
        <w:rPr>
          <w:bCs/>
          <w:iCs/>
          <w:lang w:val="vi-VN"/>
        </w:rPr>
        <w:t xml:space="preserve"> triệu đồng đến </w:t>
      </w:r>
      <w:r w:rsidR="006A3290" w:rsidRPr="00482B1C">
        <w:rPr>
          <w:bCs/>
          <w:iCs/>
          <w:lang w:val="vi-VN"/>
        </w:rPr>
        <w:t>02 tỷ</w:t>
      </w:r>
      <w:r w:rsidR="00435A84" w:rsidRPr="00482B1C">
        <w:rPr>
          <w:bCs/>
          <w:iCs/>
          <w:lang w:val="vi-VN"/>
        </w:rPr>
        <w:t xml:space="preserve"> đồng</w:t>
      </w:r>
      <w:r w:rsidR="00AA764F" w:rsidRPr="00482B1C">
        <w:rPr>
          <w:bCs/>
          <w:iCs/>
          <w:lang w:val="vi-VN"/>
        </w:rPr>
        <w:t xml:space="preserve"> là có sức thu hút, cạnh tranh trên thị trường lao động</w:t>
      </w:r>
      <w:r w:rsidR="000108DA" w:rsidRPr="00482B1C">
        <w:rPr>
          <w:bCs/>
          <w:iCs/>
          <w:lang w:val="vi-VN"/>
        </w:rPr>
        <w:t>.</w:t>
      </w:r>
    </w:p>
    <w:p w14:paraId="2F5DDA9F" w14:textId="77777777" w:rsidR="000108DA" w:rsidRPr="00482B1C" w:rsidRDefault="008B58CD" w:rsidP="00435A84">
      <w:pPr>
        <w:spacing w:before="120" w:after="120" w:line="276" w:lineRule="auto"/>
        <w:ind w:firstLine="709"/>
        <w:jc w:val="both"/>
        <w:rPr>
          <w:bCs/>
          <w:iCs/>
          <w:lang w:val="vi-VN"/>
        </w:rPr>
      </w:pPr>
      <w:r w:rsidRPr="00482B1C">
        <w:rPr>
          <w:bCs/>
          <w:iCs/>
          <w:lang w:val="vi-VN"/>
        </w:rPr>
        <w:t>(2) C</w:t>
      </w:r>
      <w:r w:rsidR="00435A84" w:rsidRPr="00482B1C">
        <w:rPr>
          <w:bCs/>
          <w:iCs/>
          <w:lang w:val="vi-VN"/>
        </w:rPr>
        <w:t>hính sách hỗ trợ thuê nhà hàng tháng (đối với trường hợp không được bố trí nhà ở công vụ và ở xa từ 15 km trở lên) không quá 10 triệu đồng là phù hợp</w:t>
      </w:r>
      <w:r w:rsidR="006925A3" w:rsidRPr="00482B1C">
        <w:rPr>
          <w:bCs/>
          <w:iCs/>
          <w:lang w:val="vi-VN"/>
        </w:rPr>
        <w:t xml:space="preserve"> với mặt bằng chung của tỉnh</w:t>
      </w:r>
      <w:r w:rsidR="00435A84" w:rsidRPr="00482B1C">
        <w:rPr>
          <w:bCs/>
          <w:iCs/>
          <w:lang w:val="vi-VN"/>
        </w:rPr>
        <w:t xml:space="preserve">. </w:t>
      </w:r>
    </w:p>
    <w:p w14:paraId="6DF3BAAB" w14:textId="701639CE" w:rsidR="00435A84" w:rsidRPr="00482B1C" w:rsidRDefault="000108DA" w:rsidP="00435A84">
      <w:pPr>
        <w:spacing w:before="120" w:after="120" w:line="276" w:lineRule="auto"/>
        <w:ind w:firstLine="709"/>
        <w:jc w:val="both"/>
        <w:rPr>
          <w:bCs/>
          <w:iCs/>
          <w:lang w:val="vi-VN"/>
        </w:rPr>
      </w:pPr>
      <w:r w:rsidRPr="00482B1C">
        <w:rPr>
          <w:bCs/>
          <w:iCs/>
          <w:lang w:val="vi-VN"/>
        </w:rPr>
        <w:t>(3) M</w:t>
      </w:r>
      <w:r w:rsidR="00435A84" w:rsidRPr="00482B1C">
        <w:rPr>
          <w:bCs/>
          <w:iCs/>
          <w:lang w:val="vi-VN"/>
        </w:rPr>
        <w:t xml:space="preserve">ức lương đề xuất trả cho hợp đồng lao động là chuyên gia theo mức đề nghị của đơn vị và không quá </w:t>
      </w:r>
      <w:r w:rsidR="00E60783" w:rsidRPr="00482B1C">
        <w:rPr>
          <w:bCs/>
          <w:iCs/>
          <w:lang w:val="vi-VN"/>
        </w:rPr>
        <w:t>10</w:t>
      </w:r>
      <w:r w:rsidR="00435A84" w:rsidRPr="00482B1C">
        <w:rPr>
          <w:bCs/>
          <w:iCs/>
          <w:lang w:val="vi-VN"/>
        </w:rPr>
        <w:t>0 triệu đồng</w:t>
      </w:r>
      <w:r w:rsidR="00E60783" w:rsidRPr="00482B1C">
        <w:rPr>
          <w:bCs/>
          <w:iCs/>
          <w:lang w:val="vi-VN"/>
        </w:rPr>
        <w:t>/người/tháng</w:t>
      </w:r>
      <w:r w:rsidR="00435A84" w:rsidRPr="00482B1C">
        <w:rPr>
          <w:bCs/>
          <w:iCs/>
          <w:lang w:val="vi-VN"/>
        </w:rPr>
        <w:t xml:space="preserve"> là phù hợp</w:t>
      </w:r>
      <w:r w:rsidR="00E60783" w:rsidRPr="00482B1C">
        <w:rPr>
          <w:bCs/>
          <w:iCs/>
          <w:lang w:val="vi-VN"/>
        </w:rPr>
        <w:t xml:space="preserve">, có sự </w:t>
      </w:r>
      <w:r w:rsidR="00E60783" w:rsidRPr="00482B1C">
        <w:rPr>
          <w:bCs/>
          <w:iCs/>
          <w:lang w:val="vi-VN"/>
        </w:rPr>
        <w:lastRenderedPageBreak/>
        <w:t xml:space="preserve">linh động </w:t>
      </w:r>
      <w:r w:rsidR="00F637DB" w:rsidRPr="00482B1C">
        <w:rPr>
          <w:bCs/>
          <w:iCs/>
          <w:lang w:val="vi-VN"/>
        </w:rPr>
        <w:t>trong</w:t>
      </w:r>
      <w:r w:rsidR="00E60783" w:rsidRPr="00482B1C">
        <w:rPr>
          <w:bCs/>
          <w:iCs/>
          <w:lang w:val="vi-VN"/>
        </w:rPr>
        <w:t xml:space="preserve"> nhiều trường hợp, công việc, chương trình, dự án khác nhau và cơ bản phù hợp</w:t>
      </w:r>
      <w:r w:rsidR="00435A84" w:rsidRPr="00482B1C">
        <w:rPr>
          <w:bCs/>
          <w:iCs/>
          <w:lang w:val="vi-VN"/>
        </w:rPr>
        <w:t xml:space="preserve"> với mức lương nhân lực cao trên thị trường lao động hiện nay.</w:t>
      </w:r>
    </w:p>
    <w:p w14:paraId="3A4D23DD" w14:textId="3190B29E" w:rsidR="00435A84" w:rsidRPr="00482B1C" w:rsidRDefault="000108DA" w:rsidP="00435A84">
      <w:pPr>
        <w:spacing w:before="120" w:after="120" w:line="276" w:lineRule="auto"/>
        <w:ind w:firstLine="709"/>
        <w:jc w:val="both"/>
        <w:rPr>
          <w:bCs/>
          <w:iCs/>
          <w:lang w:val="vi-VN"/>
        </w:rPr>
      </w:pPr>
      <w:r w:rsidRPr="00482B1C">
        <w:rPr>
          <w:bCs/>
          <w:iCs/>
          <w:lang w:val="vi-VN"/>
        </w:rPr>
        <w:t xml:space="preserve">(4) </w:t>
      </w:r>
      <w:r w:rsidR="00435A84" w:rsidRPr="00482B1C">
        <w:rPr>
          <w:bCs/>
          <w:iCs/>
          <w:lang w:val="vi-VN"/>
        </w:rPr>
        <w:t xml:space="preserve">Đối với chính sách về thu nhập theo lợi nhuận hoặc giá trị công trình: </w:t>
      </w:r>
      <w:r w:rsidRPr="00482B1C">
        <w:rPr>
          <w:bCs/>
          <w:iCs/>
          <w:lang w:val="vi-VN"/>
        </w:rPr>
        <w:t xml:space="preserve">Mỗi công trình, đề án, đề tài nghiên cứu khoa học, giải pháp, sáng kiến, đổi mới, sáng tạo trong kỹ thuật, công nghệ, chuyển đổi số từ cấp tỉnh và tương đương trở lên có giá trị thực tiễn, được cơ quan có thẩm quyền công nhận thì được hưởng 30% lợi nhuận hoặc giá trị (được quy ra thành tiền) từ việc thương mại hóa kết quả nghiên cứu. Trường hợp không xác định được mức lợi nhuận hoặc giá trị thì mỗi một công trình được hưởng mức thu nhập với giá trị bằng 5% tổng kinh phí ngân sách tỉnh chi trả cho công trình đó và tối đa là 500 triệu đồng/công trình </w:t>
      </w:r>
      <w:r w:rsidR="00435A84" w:rsidRPr="00482B1C">
        <w:rPr>
          <w:bCs/>
          <w:iCs/>
          <w:lang w:val="vi-VN"/>
        </w:rPr>
        <w:t>là tương xứng với kết quả làm việc. Đồng thời nguồn chi trả này được xác định từ nguồn lợi nhuận hoặc giá trị từ việc thương mại hóa sản phẩm, do đó không ảnh hưởng đến ngân sách nhà nước bố trí h</w:t>
      </w:r>
      <w:r w:rsidR="0007323F" w:rsidRPr="00482B1C">
        <w:rPr>
          <w:bCs/>
          <w:iCs/>
          <w:lang w:val="vi-VN"/>
        </w:rPr>
        <w:t>ằ</w:t>
      </w:r>
      <w:r w:rsidR="00435A84" w:rsidRPr="00482B1C">
        <w:rPr>
          <w:bCs/>
          <w:iCs/>
          <w:lang w:val="vi-VN"/>
        </w:rPr>
        <w:t>ng năm.</w:t>
      </w:r>
    </w:p>
    <w:p w14:paraId="4A467CF8" w14:textId="118695F1" w:rsidR="00CA33B4" w:rsidRPr="00482B1C" w:rsidRDefault="00772D4B" w:rsidP="00772D4B">
      <w:pPr>
        <w:spacing w:before="120" w:after="120" w:line="276" w:lineRule="auto"/>
        <w:ind w:firstLine="709"/>
        <w:jc w:val="both"/>
        <w:rPr>
          <w:bCs/>
          <w:iCs/>
          <w:lang w:val="vi-VN"/>
        </w:rPr>
      </w:pPr>
      <w:r w:rsidRPr="00482B1C">
        <w:rPr>
          <w:bCs/>
          <w:iCs/>
          <w:lang w:val="vi-VN"/>
        </w:rPr>
        <w:t xml:space="preserve">Đối với việc </w:t>
      </w:r>
      <w:r w:rsidR="00CA33B4" w:rsidRPr="00482B1C">
        <w:rPr>
          <w:bCs/>
          <w:iCs/>
          <w:lang w:val="vi-VN"/>
        </w:rPr>
        <w:t>hỗ trợ đào tạo</w:t>
      </w:r>
      <w:r w:rsidRPr="00482B1C">
        <w:rPr>
          <w:bCs/>
          <w:iCs/>
          <w:lang w:val="vi-VN"/>
        </w:rPr>
        <w:t>:</w:t>
      </w:r>
    </w:p>
    <w:p w14:paraId="4E7E7BB9" w14:textId="04D77584" w:rsidR="00CA33B4" w:rsidRPr="00482B1C" w:rsidRDefault="00CA33B4" w:rsidP="00772D4B">
      <w:pPr>
        <w:spacing w:before="120" w:after="120" w:line="276" w:lineRule="auto"/>
        <w:ind w:firstLine="709"/>
        <w:jc w:val="both"/>
        <w:rPr>
          <w:bCs/>
          <w:iCs/>
          <w:lang w:val="vi-VN"/>
        </w:rPr>
      </w:pPr>
      <w:r w:rsidRPr="00482B1C">
        <w:rPr>
          <w:bCs/>
          <w:iCs/>
          <w:lang w:val="vi-VN"/>
        </w:rPr>
        <w:t xml:space="preserve">(1) Cá nhân được cử đào tạo </w:t>
      </w:r>
      <w:r w:rsidR="000B1C72" w:rsidRPr="00482B1C">
        <w:rPr>
          <w:color w:val="FF0000"/>
          <w:lang w:val="vi-VN"/>
        </w:rPr>
        <w:t xml:space="preserve">cử nhân văn bằng hai các ngành, chuyên ngành liên quan đến công nghệ thông tin để bổ sung nguồn nhân lực chuyên trách công nghệ thông tin theo vị trí việc làm, nếu kết quả đào tạo đảm bảo tiêu chuẩn hưởng chính sách hỗ trợ đào tạo được hỗ trợ 100 triệu đồng là phù hợp để tạo động lực, khuyến khích cán bộ, công chức, viên chức chuyển đổi trình độ đào tạo </w:t>
      </w:r>
      <w:r w:rsidR="002F2985" w:rsidRPr="00482B1C">
        <w:rPr>
          <w:color w:val="FF0000"/>
          <w:lang w:val="vi-VN"/>
        </w:rPr>
        <w:t xml:space="preserve">để phù hợp </w:t>
      </w:r>
      <w:r w:rsidR="000B1C72" w:rsidRPr="00482B1C">
        <w:rPr>
          <w:color w:val="FF0000"/>
          <w:lang w:val="vi-VN"/>
        </w:rPr>
        <w:t>theo vị trí việc làm có nhu cầu của đơn vị</w:t>
      </w:r>
      <w:r w:rsidR="002F2985" w:rsidRPr="00482B1C">
        <w:rPr>
          <w:color w:val="FF0000"/>
          <w:lang w:val="vi-VN"/>
        </w:rPr>
        <w:t>.</w:t>
      </w:r>
    </w:p>
    <w:p w14:paraId="7FD3FDD0" w14:textId="1ED10725" w:rsidR="00CA33B4" w:rsidRPr="00482B1C" w:rsidRDefault="002F2985" w:rsidP="002F2985">
      <w:pPr>
        <w:spacing w:before="120" w:after="120" w:line="276" w:lineRule="auto"/>
        <w:ind w:firstLine="709"/>
        <w:jc w:val="both"/>
        <w:rPr>
          <w:bCs/>
          <w:iCs/>
          <w:lang w:val="vi-VN"/>
        </w:rPr>
      </w:pPr>
      <w:r w:rsidRPr="00482B1C">
        <w:rPr>
          <w:bCs/>
          <w:iCs/>
          <w:lang w:val="vi-VN"/>
        </w:rPr>
        <w:t>(2) Cá nhân được cử</w:t>
      </w:r>
      <w:r w:rsidR="00CA33B4" w:rsidRPr="00482B1C">
        <w:rPr>
          <w:bCs/>
          <w:iCs/>
          <w:lang w:val="vi-VN"/>
        </w:rPr>
        <w:t xml:space="preserve"> nâng cao trình độ chuyên môn hướng tới xây dựng đội ngũ nhân lực chất lượng cao </w:t>
      </w:r>
      <w:r w:rsidRPr="00482B1C">
        <w:rPr>
          <w:bCs/>
          <w:iCs/>
          <w:lang w:val="vi-VN"/>
        </w:rPr>
        <w:t>có trình độ từ thạc sĩ, chuyên khoa I trở lên,</w:t>
      </w:r>
      <w:r w:rsidRPr="00482B1C">
        <w:rPr>
          <w:color w:val="FF0000"/>
          <w:lang w:val="vi-VN"/>
        </w:rPr>
        <w:t xml:space="preserve"> nếu kết quả đào tạo đảm bảo tiêu chuẩn hưởng chính sách hỗ trợ đào tạo thì </w:t>
      </w:r>
      <w:r w:rsidR="00CA33B4" w:rsidRPr="00482B1C">
        <w:rPr>
          <w:bCs/>
          <w:iCs/>
          <w:lang w:val="vi-VN"/>
        </w:rPr>
        <w:t>theo trình độ, học hàm, học vị</w:t>
      </w:r>
      <w:r w:rsidRPr="00482B1C">
        <w:rPr>
          <w:bCs/>
          <w:iCs/>
          <w:lang w:val="vi-VN"/>
        </w:rPr>
        <w:t xml:space="preserve"> được hỗ trợ từ</w:t>
      </w:r>
      <w:r w:rsidR="00CA33B4" w:rsidRPr="00482B1C">
        <w:rPr>
          <w:bCs/>
          <w:iCs/>
          <w:lang w:val="vi-VN"/>
        </w:rPr>
        <w:t xml:space="preserve"> </w:t>
      </w:r>
      <w:r w:rsidRPr="00482B1C">
        <w:rPr>
          <w:bCs/>
          <w:iCs/>
          <w:lang w:val="vi-VN"/>
        </w:rPr>
        <w:t>2</w:t>
      </w:r>
      <w:r w:rsidR="00CA33B4" w:rsidRPr="00482B1C">
        <w:rPr>
          <w:bCs/>
          <w:iCs/>
          <w:lang w:val="vi-VN"/>
        </w:rPr>
        <w:t xml:space="preserve">00 triệu đồng đến </w:t>
      </w:r>
      <w:r w:rsidRPr="00482B1C">
        <w:rPr>
          <w:bCs/>
          <w:iCs/>
          <w:lang w:val="vi-VN"/>
        </w:rPr>
        <w:t>700 triệu</w:t>
      </w:r>
      <w:r w:rsidR="00CA33B4" w:rsidRPr="00482B1C">
        <w:rPr>
          <w:bCs/>
          <w:iCs/>
          <w:lang w:val="vi-VN"/>
        </w:rPr>
        <w:t xml:space="preserve"> đồng </w:t>
      </w:r>
      <w:r w:rsidRPr="00482B1C">
        <w:rPr>
          <w:bCs/>
          <w:iCs/>
          <w:lang w:val="vi-VN"/>
        </w:rPr>
        <w:t>sẽ khuyến khích, tạo động lực để cán bộ, công chức, viên chức nâng cao trình độ và tiếp tục gắn bó, cống hiến lâu dài, ổn định tại đơn vị.</w:t>
      </w:r>
    </w:p>
    <w:p w14:paraId="66AE4D12" w14:textId="14E8927E" w:rsidR="00074764" w:rsidRPr="00482B1C" w:rsidRDefault="00BC21DE" w:rsidP="00074764">
      <w:pPr>
        <w:spacing w:before="120" w:after="120" w:line="276" w:lineRule="auto"/>
        <w:ind w:firstLine="709"/>
        <w:jc w:val="both"/>
        <w:rPr>
          <w:b/>
          <w:iCs/>
          <w:lang w:val="vi-VN"/>
        </w:rPr>
      </w:pPr>
      <w:r w:rsidRPr="00482B1C">
        <w:rPr>
          <w:b/>
          <w:iCs/>
          <w:lang w:val="vi-VN"/>
        </w:rPr>
        <w:t>2</w:t>
      </w:r>
      <w:r w:rsidR="00435A84" w:rsidRPr="00482B1C">
        <w:rPr>
          <w:b/>
          <w:iCs/>
          <w:lang w:val="vi-VN"/>
        </w:rPr>
        <w:t xml:space="preserve">. </w:t>
      </w:r>
      <w:r w:rsidR="00074764" w:rsidRPr="00482B1C">
        <w:rPr>
          <w:b/>
          <w:iCs/>
          <w:lang w:val="vi-VN"/>
        </w:rPr>
        <w:t xml:space="preserve">Về nguồn kinh phí bố trí </w:t>
      </w:r>
      <w:r w:rsidR="00594243" w:rsidRPr="00482B1C">
        <w:rPr>
          <w:b/>
          <w:iCs/>
          <w:lang w:val="vi-VN"/>
        </w:rPr>
        <w:t>thực hiện</w:t>
      </w:r>
      <w:r w:rsidR="00074764" w:rsidRPr="00482B1C">
        <w:rPr>
          <w:b/>
          <w:iCs/>
          <w:lang w:val="vi-VN"/>
        </w:rPr>
        <w:t>:</w:t>
      </w:r>
    </w:p>
    <w:p w14:paraId="47CFAC57" w14:textId="77777777" w:rsidR="00074764" w:rsidRPr="00482B1C" w:rsidRDefault="00074764" w:rsidP="00074764">
      <w:pPr>
        <w:widowControl w:val="0"/>
        <w:spacing w:before="120" w:after="120" w:line="276" w:lineRule="auto"/>
        <w:ind w:firstLine="400"/>
        <w:jc w:val="both"/>
        <w:rPr>
          <w:bCs/>
          <w:i/>
          <w:iCs/>
          <w:color w:val="000000" w:themeColor="text1"/>
          <w:lang w:val="vi-VN"/>
        </w:rPr>
      </w:pPr>
      <w:r w:rsidRPr="00482B1C">
        <w:rPr>
          <w:bCs/>
          <w:color w:val="000000" w:themeColor="text1"/>
          <w:lang w:val="vi-VN"/>
        </w:rPr>
        <w:t xml:space="preserve">- Tại Kết luận số 205-KL/TW ngày 07/11/2025 của Ban Chấp hành Trung ương về Kết luận của Bộ Chính trị về một số giải pháp đột phá trong tuyển dụng, bố trí, sử dụng, đãi ngộ cán bộ nêu: </w:t>
      </w:r>
      <w:r w:rsidRPr="00482B1C">
        <w:rPr>
          <w:bCs/>
          <w:i/>
          <w:iCs/>
          <w:color w:val="000000" w:themeColor="text1"/>
          <w:lang w:val="vi-VN"/>
        </w:rPr>
        <w:t>“</w:t>
      </w:r>
      <w:r w:rsidRPr="00482B1C">
        <w:rPr>
          <w:b/>
          <w:i/>
          <w:iCs/>
          <w:color w:val="000000" w:themeColor="text1"/>
          <w:lang w:val="vi-VN"/>
        </w:rPr>
        <w:t>Hằng năm, ngân sách nhà nước bố trí khoảng 10% tổng quỹ tiền lương của năm (không bao gồm phụ cấp) để thực hiện chính sách thu hút, trọng dụng người có tài năng</w:t>
      </w:r>
      <w:r w:rsidRPr="00482B1C">
        <w:rPr>
          <w:bCs/>
          <w:i/>
          <w:iCs/>
          <w:color w:val="000000" w:themeColor="text1"/>
          <w:lang w:val="vi-VN"/>
        </w:rPr>
        <w:t>; đồng thời cho phép bộ, ngành, địa phương huy động thêm nguồn lực ngoài ngân sách để thu hút, trọng dụng người có tài năng theo quy định của pháp luật…”.</w:t>
      </w:r>
    </w:p>
    <w:p w14:paraId="051368AA" w14:textId="0EA81706" w:rsidR="00074764" w:rsidRPr="00482B1C" w:rsidRDefault="00074764" w:rsidP="00074764">
      <w:pPr>
        <w:widowControl w:val="0"/>
        <w:spacing w:before="120" w:after="120" w:line="276" w:lineRule="auto"/>
        <w:ind w:firstLine="400"/>
        <w:jc w:val="both"/>
        <w:rPr>
          <w:bCs/>
          <w:i/>
          <w:iCs/>
          <w:color w:val="000000" w:themeColor="text1"/>
          <w:lang w:val="vi-VN"/>
        </w:rPr>
      </w:pPr>
      <w:r w:rsidRPr="00482B1C">
        <w:rPr>
          <w:bCs/>
          <w:color w:val="000000" w:themeColor="text1"/>
          <w:lang w:val="vi-VN"/>
        </w:rPr>
        <w:t xml:space="preserve">- Tại khoản 1 Điều 20 Nghị định số 179/2024/NĐ-CP quy định về chính sách thu hút, trọng dụng người có tài năng làm việc trong cơ quan, tổ chức, đơn vị của Đảng Cộng sản Việt Nam, Nhà nước, Mặt trận Tổ quốc Việt Nam, tổ chức chính </w:t>
      </w:r>
      <w:r w:rsidRPr="00482B1C">
        <w:rPr>
          <w:bCs/>
          <w:color w:val="000000" w:themeColor="text1"/>
          <w:lang w:val="vi-VN"/>
        </w:rPr>
        <w:lastRenderedPageBreak/>
        <w:t xml:space="preserve">trị - xã hội, như sau: </w:t>
      </w:r>
      <w:r w:rsidRPr="00482B1C">
        <w:rPr>
          <w:bCs/>
          <w:i/>
          <w:iCs/>
          <w:color w:val="000000" w:themeColor="text1"/>
          <w:lang w:val="vi-VN"/>
        </w:rPr>
        <w:t>“</w:t>
      </w:r>
      <w:r w:rsidRPr="00482B1C">
        <w:rPr>
          <w:b/>
          <w:i/>
          <w:iCs/>
          <w:color w:val="000000" w:themeColor="text1"/>
          <w:lang w:val="vi-VN"/>
        </w:rPr>
        <w:t>H</w:t>
      </w:r>
      <w:r w:rsidR="0007323F" w:rsidRPr="00482B1C">
        <w:rPr>
          <w:b/>
          <w:i/>
          <w:iCs/>
          <w:color w:val="000000" w:themeColor="text1"/>
          <w:lang w:val="vi-VN"/>
        </w:rPr>
        <w:t>ằ</w:t>
      </w:r>
      <w:r w:rsidRPr="00482B1C">
        <w:rPr>
          <w:b/>
          <w:i/>
          <w:iCs/>
          <w:color w:val="000000" w:themeColor="text1"/>
          <w:lang w:val="vi-VN"/>
        </w:rPr>
        <w:t xml:space="preserve">ng năm, ngân sách nhà nước bố trí kinh phí </w:t>
      </w:r>
      <w:r w:rsidRPr="00482B1C">
        <w:rPr>
          <w:bCs/>
          <w:i/>
          <w:iCs/>
          <w:color w:val="000000" w:themeColor="text1"/>
          <w:lang w:val="vi-VN"/>
        </w:rPr>
        <w:t xml:space="preserve">bằng 10% tổng quỹ tiền lương cơ bản (không bao gồm phụ cấp) đối với các bộ, ngành, cơ quan trung ương và </w:t>
      </w:r>
      <w:r w:rsidRPr="00482B1C">
        <w:rPr>
          <w:b/>
          <w:i/>
          <w:iCs/>
          <w:color w:val="000000" w:themeColor="text1"/>
          <w:lang w:val="vi-VN"/>
        </w:rPr>
        <w:t>bằng 5% tổng quỹ tiền lương cơ bản (không bao gồm phụ cấp) đối với các địa phương để thực hiện chính sách thu hút, trọng dụng đối với người có tài năng làm việc trong các cơ quan, tổ chức, đơn vị thuộc phạm vi quản lý</w:t>
      </w:r>
      <w:r w:rsidRPr="00482B1C">
        <w:rPr>
          <w:bCs/>
          <w:i/>
          <w:iCs/>
          <w:color w:val="000000" w:themeColor="text1"/>
          <w:lang w:val="vi-VN"/>
        </w:rPr>
        <w:t>”.</w:t>
      </w:r>
    </w:p>
    <w:p w14:paraId="54A2FA2E" w14:textId="77777777" w:rsidR="00074764" w:rsidRPr="00482B1C" w:rsidRDefault="00074764" w:rsidP="00074764">
      <w:pPr>
        <w:widowControl w:val="0"/>
        <w:spacing w:before="120" w:after="120" w:line="276" w:lineRule="auto"/>
        <w:ind w:firstLine="400"/>
        <w:jc w:val="both"/>
        <w:rPr>
          <w:bCs/>
          <w:color w:val="000000" w:themeColor="text1"/>
          <w:lang w:val="vi-VN"/>
        </w:rPr>
      </w:pPr>
      <w:r w:rsidRPr="00482B1C">
        <w:rPr>
          <w:bCs/>
          <w:color w:val="000000" w:themeColor="text1"/>
          <w:lang w:val="vi-VN"/>
        </w:rPr>
        <w:t xml:space="preserve">- Tại Mục 2 Công văn số 519-CV/TU ngày 14/01/2026 của Tỉnh ủy về triển khai thực hiện Kết luận số 205 của Bộ Chính trị có yêu cầu Đảng ủy UBND tỉnh lãnh đạo UBND tỉnh: </w:t>
      </w:r>
      <w:r w:rsidRPr="00482B1C">
        <w:rPr>
          <w:bCs/>
          <w:i/>
          <w:iCs/>
          <w:color w:val="000000" w:themeColor="text1"/>
          <w:lang w:val="vi-VN"/>
        </w:rPr>
        <w:t xml:space="preserve">“... </w:t>
      </w:r>
      <w:r w:rsidRPr="00482B1C">
        <w:rPr>
          <w:b/>
          <w:i/>
          <w:iCs/>
          <w:color w:val="000000" w:themeColor="text1"/>
          <w:lang w:val="vi-VN"/>
        </w:rPr>
        <w:t>Nghiên cứu, tham mưu bố trí ngân sách nhà nước khoảng 10% tổng quỹ tiền lương của năm (không bao gồm phụ cấp) để thực hiện chính sách thu hút, trọng dụng người có tài năng</w:t>
      </w:r>
      <w:r w:rsidRPr="00482B1C">
        <w:rPr>
          <w:bCs/>
          <w:i/>
          <w:iCs/>
          <w:color w:val="000000" w:themeColor="text1"/>
          <w:lang w:val="vi-VN"/>
        </w:rPr>
        <w:t>; đồng thời, huy động thêm nguồn lực ngoài ngân sách để thu hút, trọng dụng người có tài năng theo quy định”.</w:t>
      </w:r>
    </w:p>
    <w:p w14:paraId="0B6487F0" w14:textId="77777777" w:rsidR="00074764" w:rsidRPr="00482B1C" w:rsidRDefault="00074764" w:rsidP="00074764">
      <w:pPr>
        <w:widowControl w:val="0"/>
        <w:spacing w:before="120" w:after="120" w:line="276" w:lineRule="auto"/>
        <w:ind w:firstLine="400"/>
        <w:jc w:val="both"/>
        <w:rPr>
          <w:bCs/>
          <w:i/>
          <w:iCs/>
          <w:color w:val="000000" w:themeColor="text1"/>
          <w:lang w:val="vi-VN"/>
        </w:rPr>
      </w:pPr>
      <w:r w:rsidRPr="00482B1C">
        <w:rPr>
          <w:bCs/>
          <w:color w:val="000000" w:themeColor="text1"/>
          <w:lang w:val="vi-VN"/>
        </w:rPr>
        <w:t xml:space="preserve">- Tại mục 2 Công văn số 1137/UBND-NV ngày 21/01/2026 của UBND tỉnh về triển khai thực hiện các Kết luận của Bộ Chính trị có giao Sở Tài chính: </w:t>
      </w:r>
      <w:r w:rsidRPr="00482B1C">
        <w:rPr>
          <w:bCs/>
          <w:i/>
          <w:iCs/>
          <w:color w:val="000000" w:themeColor="text1"/>
          <w:lang w:val="vi-VN"/>
        </w:rPr>
        <w:t xml:space="preserve">“Chủ trì, phối hợp với các cơ quan, đơn vị liên quan </w:t>
      </w:r>
      <w:r w:rsidRPr="00482B1C">
        <w:rPr>
          <w:b/>
          <w:i/>
          <w:iCs/>
          <w:color w:val="000000" w:themeColor="text1"/>
          <w:lang w:val="vi-VN"/>
        </w:rPr>
        <w:t>nghiên cứu, tham mưu bố trí ngân sách nhà nước khoảng 10% tổng quỹ tiền lương của năm (không bao gồm phụ cấp) để thực hiện chính sách thu hút, trọng dụng người có tài năng</w:t>
      </w:r>
      <w:r w:rsidRPr="00482B1C">
        <w:rPr>
          <w:bCs/>
          <w:i/>
          <w:iCs/>
          <w:color w:val="000000" w:themeColor="text1"/>
          <w:lang w:val="vi-VN"/>
        </w:rPr>
        <w:t>; đồng thời, huy động thêm nguồn lực ngoài ngân sách để thu hút, trọng dụng người có tài năng theo quy định”.</w:t>
      </w:r>
    </w:p>
    <w:p w14:paraId="462D7D6D" w14:textId="5AE9EE8C" w:rsidR="006C7623" w:rsidRPr="00482B1C" w:rsidRDefault="008D23DA" w:rsidP="006C7623">
      <w:pPr>
        <w:spacing w:before="120" w:after="120" w:line="276" w:lineRule="auto"/>
        <w:ind w:firstLine="709"/>
        <w:jc w:val="both"/>
        <w:rPr>
          <w:iCs/>
          <w:color w:val="000000"/>
          <w:lang w:val="vi-VN"/>
        </w:rPr>
      </w:pPr>
      <w:r w:rsidRPr="00482B1C">
        <w:rPr>
          <w:bCs/>
          <w:iCs/>
          <w:lang w:val="vi-VN"/>
        </w:rPr>
        <w:t xml:space="preserve">- </w:t>
      </w:r>
      <w:r w:rsidR="006C7623" w:rsidRPr="00482B1C">
        <w:rPr>
          <w:iCs/>
          <w:color w:val="000000"/>
          <w:lang w:val="vi-VN"/>
        </w:rPr>
        <w:t>Qua số liệu cung cấp của Sở Tài chính về tổng quỹ tiền lương cơ bản (không bao gồm phụ cấp) của tỉnh Đắk Lắk năm 2026 và dự kiến giai đoạn 2026 – 2031 và đối chiếu quy định về ngân sách nhà nước bố trí để thực hiện chính sách thu hút, trọng dụng người có tài năng, cụ thể như sau:</w:t>
      </w:r>
    </w:p>
    <w:tbl>
      <w:tblPr>
        <w:tblW w:w="886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6"/>
        <w:gridCol w:w="3061"/>
        <w:gridCol w:w="3229"/>
      </w:tblGrid>
      <w:tr w:rsidR="00F7306D" w:rsidRPr="00482B1C" w14:paraId="068A4EF5" w14:textId="77777777" w:rsidTr="001A3EF2">
        <w:trPr>
          <w:trHeight w:val="689"/>
        </w:trPr>
        <w:tc>
          <w:tcPr>
            <w:tcW w:w="2576" w:type="dxa"/>
            <w:vMerge w:val="restart"/>
            <w:vAlign w:val="center"/>
          </w:tcPr>
          <w:p w14:paraId="648EBF41" w14:textId="54108B48" w:rsidR="00F7306D" w:rsidRPr="00482B1C" w:rsidRDefault="00F7306D" w:rsidP="006831FD">
            <w:pPr>
              <w:jc w:val="center"/>
              <w:rPr>
                <w:b/>
                <w:bCs/>
                <w:color w:val="000000"/>
              </w:rPr>
            </w:pPr>
            <w:r w:rsidRPr="00482B1C">
              <w:rPr>
                <w:b/>
                <w:bCs/>
                <w:color w:val="000000"/>
              </w:rPr>
              <w:t>TỈNH ĐẮK LẮK</w:t>
            </w:r>
          </w:p>
        </w:tc>
        <w:tc>
          <w:tcPr>
            <w:tcW w:w="6290" w:type="dxa"/>
            <w:gridSpan w:val="2"/>
            <w:noWrap/>
            <w:vAlign w:val="center"/>
          </w:tcPr>
          <w:p w14:paraId="6935E39E" w14:textId="360B4673" w:rsidR="001A3EF2" w:rsidRPr="00482B1C" w:rsidRDefault="00F7306D" w:rsidP="006831FD">
            <w:pPr>
              <w:jc w:val="center"/>
              <w:rPr>
                <w:b/>
                <w:bCs/>
                <w:color w:val="000000"/>
              </w:rPr>
            </w:pPr>
            <w:r w:rsidRPr="00482B1C">
              <w:rPr>
                <w:b/>
                <w:bCs/>
                <w:color w:val="000000"/>
              </w:rPr>
              <w:t>Dự kiến tổng quỹ tiền lương cơ bản</w:t>
            </w:r>
          </w:p>
          <w:p w14:paraId="258BFD8A" w14:textId="197CC9CB" w:rsidR="00F7306D" w:rsidRPr="00482B1C" w:rsidRDefault="00F7306D" w:rsidP="006831FD">
            <w:pPr>
              <w:jc w:val="center"/>
              <w:rPr>
                <w:i/>
                <w:iCs/>
                <w:color w:val="000000"/>
              </w:rPr>
            </w:pPr>
            <w:r w:rsidRPr="00482B1C">
              <w:rPr>
                <w:i/>
                <w:iCs/>
                <w:color w:val="000000"/>
              </w:rPr>
              <w:t>(không bao gồm phụ cấp)</w:t>
            </w:r>
          </w:p>
        </w:tc>
      </w:tr>
      <w:tr w:rsidR="00F7306D" w:rsidRPr="00482B1C" w14:paraId="74C941E5" w14:textId="77777777" w:rsidTr="001A3EF2">
        <w:trPr>
          <w:trHeight w:val="412"/>
        </w:trPr>
        <w:tc>
          <w:tcPr>
            <w:tcW w:w="2576" w:type="dxa"/>
            <w:vMerge/>
            <w:vAlign w:val="center"/>
            <w:hideMark/>
          </w:tcPr>
          <w:p w14:paraId="5A318B2C" w14:textId="29343CE3" w:rsidR="00F7306D" w:rsidRPr="00482B1C" w:rsidRDefault="00F7306D" w:rsidP="006831FD">
            <w:pPr>
              <w:jc w:val="center"/>
              <w:rPr>
                <w:b/>
                <w:bCs/>
                <w:color w:val="000000"/>
              </w:rPr>
            </w:pPr>
          </w:p>
        </w:tc>
        <w:tc>
          <w:tcPr>
            <w:tcW w:w="3061" w:type="dxa"/>
            <w:noWrap/>
            <w:vAlign w:val="center"/>
            <w:hideMark/>
          </w:tcPr>
          <w:p w14:paraId="39B50940" w14:textId="7D405590" w:rsidR="00F7306D" w:rsidRPr="00482B1C" w:rsidRDefault="00F7306D" w:rsidP="006831FD">
            <w:pPr>
              <w:jc w:val="center"/>
              <w:rPr>
                <w:b/>
                <w:bCs/>
                <w:color w:val="000000"/>
              </w:rPr>
            </w:pPr>
            <w:r w:rsidRPr="00482B1C">
              <w:rPr>
                <w:b/>
                <w:bCs/>
                <w:color w:val="000000"/>
              </w:rPr>
              <w:t xml:space="preserve">Năm 2026 </w:t>
            </w:r>
          </w:p>
        </w:tc>
        <w:tc>
          <w:tcPr>
            <w:tcW w:w="3229" w:type="dxa"/>
            <w:vAlign w:val="center"/>
            <w:hideMark/>
          </w:tcPr>
          <w:p w14:paraId="7130B629" w14:textId="25099FB3" w:rsidR="00F7306D" w:rsidRPr="00482B1C" w:rsidRDefault="00F7306D" w:rsidP="006831FD">
            <w:pPr>
              <w:jc w:val="center"/>
              <w:rPr>
                <w:b/>
                <w:bCs/>
                <w:color w:val="000000"/>
              </w:rPr>
            </w:pPr>
            <w:r w:rsidRPr="00482B1C">
              <w:rPr>
                <w:b/>
                <w:bCs/>
                <w:color w:val="000000"/>
              </w:rPr>
              <w:t xml:space="preserve">Giai đoạn 2026 – 2031  </w:t>
            </w:r>
          </w:p>
        </w:tc>
      </w:tr>
      <w:tr w:rsidR="006F24B9" w:rsidRPr="00482B1C" w14:paraId="4C421F9C" w14:textId="77777777" w:rsidTr="001A3EF2">
        <w:trPr>
          <w:trHeight w:val="411"/>
        </w:trPr>
        <w:tc>
          <w:tcPr>
            <w:tcW w:w="2576" w:type="dxa"/>
            <w:vAlign w:val="center"/>
            <w:hideMark/>
          </w:tcPr>
          <w:p w14:paraId="407C6838" w14:textId="6CBF6042" w:rsidR="006F24B9" w:rsidRPr="00482B1C" w:rsidRDefault="006F24B9" w:rsidP="006831FD">
            <w:pPr>
              <w:jc w:val="center"/>
              <w:rPr>
                <w:b/>
                <w:bCs/>
                <w:color w:val="000000"/>
              </w:rPr>
            </w:pPr>
            <w:r w:rsidRPr="00482B1C">
              <w:rPr>
                <w:b/>
                <w:bCs/>
                <w:color w:val="000000"/>
              </w:rPr>
              <w:t>Tổng</w:t>
            </w:r>
          </w:p>
        </w:tc>
        <w:tc>
          <w:tcPr>
            <w:tcW w:w="3061" w:type="dxa"/>
            <w:noWrap/>
            <w:vAlign w:val="center"/>
            <w:hideMark/>
          </w:tcPr>
          <w:p w14:paraId="7FB6FD7D" w14:textId="1C7392DA" w:rsidR="006F24B9" w:rsidRPr="00482B1C" w:rsidRDefault="006F24B9" w:rsidP="006831FD">
            <w:pPr>
              <w:jc w:val="right"/>
              <w:rPr>
                <w:color w:val="000000"/>
              </w:rPr>
            </w:pPr>
            <w:r w:rsidRPr="00482B1C">
              <w:rPr>
                <w:color w:val="000000"/>
              </w:rPr>
              <w:t xml:space="preserve">6.982 tỷ đồng </w:t>
            </w:r>
          </w:p>
        </w:tc>
        <w:tc>
          <w:tcPr>
            <w:tcW w:w="3229" w:type="dxa"/>
            <w:noWrap/>
            <w:vAlign w:val="center"/>
            <w:hideMark/>
          </w:tcPr>
          <w:p w14:paraId="2A2799C0" w14:textId="653FBB22" w:rsidR="006F24B9" w:rsidRPr="00482B1C" w:rsidRDefault="006F24B9" w:rsidP="006831FD">
            <w:pPr>
              <w:jc w:val="right"/>
              <w:rPr>
                <w:color w:val="000000"/>
              </w:rPr>
            </w:pPr>
            <w:r w:rsidRPr="00482B1C">
              <w:rPr>
                <w:color w:val="000000"/>
              </w:rPr>
              <w:t xml:space="preserve">   51.940</w:t>
            </w:r>
            <w:r w:rsidR="00DC42A9" w:rsidRPr="00482B1C">
              <w:rPr>
                <w:color w:val="000000"/>
              </w:rPr>
              <w:t xml:space="preserve"> tỷ đồng</w:t>
            </w:r>
          </w:p>
        </w:tc>
      </w:tr>
      <w:tr w:rsidR="006F24B9" w:rsidRPr="00482B1C" w14:paraId="4BFE6FA8" w14:textId="77777777" w:rsidTr="001A3EF2">
        <w:trPr>
          <w:trHeight w:val="423"/>
        </w:trPr>
        <w:tc>
          <w:tcPr>
            <w:tcW w:w="2576" w:type="dxa"/>
            <w:vAlign w:val="center"/>
            <w:hideMark/>
          </w:tcPr>
          <w:p w14:paraId="1FC37ABE" w14:textId="2A2980CF" w:rsidR="006F24B9" w:rsidRPr="00482B1C" w:rsidRDefault="00F7306D" w:rsidP="006831FD">
            <w:pPr>
              <w:jc w:val="center"/>
              <w:rPr>
                <w:color w:val="000000"/>
              </w:rPr>
            </w:pPr>
            <w:r w:rsidRPr="00482B1C">
              <w:rPr>
                <w:color w:val="000000"/>
              </w:rPr>
              <w:t xml:space="preserve">Tỷ lệ </w:t>
            </w:r>
            <w:r w:rsidR="006F24B9" w:rsidRPr="00482B1C">
              <w:rPr>
                <w:color w:val="000000"/>
              </w:rPr>
              <w:t>10%</w:t>
            </w:r>
          </w:p>
        </w:tc>
        <w:tc>
          <w:tcPr>
            <w:tcW w:w="3061" w:type="dxa"/>
            <w:noWrap/>
            <w:vAlign w:val="center"/>
            <w:hideMark/>
          </w:tcPr>
          <w:p w14:paraId="2948810C" w14:textId="1241320F" w:rsidR="006F24B9" w:rsidRPr="00482B1C" w:rsidRDefault="006F24B9" w:rsidP="006831FD">
            <w:pPr>
              <w:jc w:val="right"/>
              <w:rPr>
                <w:color w:val="000000"/>
              </w:rPr>
            </w:pPr>
            <w:r w:rsidRPr="00482B1C">
              <w:rPr>
                <w:color w:val="000000"/>
              </w:rPr>
              <w:t xml:space="preserve">      698</w:t>
            </w:r>
            <w:r w:rsidR="004D482E" w:rsidRPr="00482B1C">
              <w:rPr>
                <w:color w:val="000000"/>
              </w:rPr>
              <w:t xml:space="preserve"> tỷ đ</w:t>
            </w:r>
            <w:r w:rsidRPr="00482B1C">
              <w:rPr>
                <w:color w:val="000000"/>
              </w:rPr>
              <w:t xml:space="preserve">ồng </w:t>
            </w:r>
          </w:p>
        </w:tc>
        <w:tc>
          <w:tcPr>
            <w:tcW w:w="3229" w:type="dxa"/>
            <w:noWrap/>
            <w:vAlign w:val="center"/>
            <w:hideMark/>
          </w:tcPr>
          <w:p w14:paraId="5D8B81C6" w14:textId="1A62CFF4" w:rsidR="006F24B9" w:rsidRPr="00482B1C" w:rsidRDefault="006F24B9" w:rsidP="006831FD">
            <w:pPr>
              <w:jc w:val="right"/>
              <w:rPr>
                <w:color w:val="000000"/>
              </w:rPr>
            </w:pPr>
            <w:r w:rsidRPr="00482B1C">
              <w:rPr>
                <w:color w:val="000000"/>
              </w:rPr>
              <w:t xml:space="preserve">     5.194</w:t>
            </w:r>
            <w:r w:rsidR="00DC42A9" w:rsidRPr="00482B1C">
              <w:rPr>
                <w:color w:val="000000"/>
              </w:rPr>
              <w:t xml:space="preserve"> tỷ đồng</w:t>
            </w:r>
          </w:p>
        </w:tc>
      </w:tr>
      <w:tr w:rsidR="006F24B9" w:rsidRPr="00482B1C" w14:paraId="2BF3C7F2" w14:textId="77777777" w:rsidTr="001A3EF2">
        <w:trPr>
          <w:trHeight w:val="401"/>
        </w:trPr>
        <w:tc>
          <w:tcPr>
            <w:tcW w:w="2576" w:type="dxa"/>
            <w:vAlign w:val="center"/>
            <w:hideMark/>
          </w:tcPr>
          <w:p w14:paraId="7B0E5AFE" w14:textId="0ACCC572" w:rsidR="006F24B9" w:rsidRPr="00482B1C" w:rsidRDefault="00E76C71" w:rsidP="006831FD">
            <w:pPr>
              <w:jc w:val="center"/>
              <w:rPr>
                <w:color w:val="000000"/>
              </w:rPr>
            </w:pPr>
            <w:r w:rsidRPr="00482B1C">
              <w:rPr>
                <w:color w:val="000000"/>
              </w:rPr>
              <w:t xml:space="preserve">Tỷ lệ </w:t>
            </w:r>
            <w:r w:rsidR="006F24B9" w:rsidRPr="00482B1C">
              <w:rPr>
                <w:color w:val="000000"/>
              </w:rPr>
              <w:t>5%</w:t>
            </w:r>
          </w:p>
        </w:tc>
        <w:tc>
          <w:tcPr>
            <w:tcW w:w="3061" w:type="dxa"/>
            <w:noWrap/>
            <w:vAlign w:val="center"/>
            <w:hideMark/>
          </w:tcPr>
          <w:p w14:paraId="70C5AFBE" w14:textId="0457319F" w:rsidR="006F24B9" w:rsidRPr="00482B1C" w:rsidRDefault="006F24B9" w:rsidP="006831FD">
            <w:pPr>
              <w:jc w:val="right"/>
              <w:rPr>
                <w:color w:val="000000"/>
              </w:rPr>
            </w:pPr>
            <w:r w:rsidRPr="00482B1C">
              <w:rPr>
                <w:color w:val="000000"/>
              </w:rPr>
              <w:t xml:space="preserve">      349</w:t>
            </w:r>
            <w:r w:rsidR="004D482E" w:rsidRPr="00482B1C">
              <w:rPr>
                <w:color w:val="000000"/>
              </w:rPr>
              <w:t xml:space="preserve"> tỷ đồng</w:t>
            </w:r>
          </w:p>
        </w:tc>
        <w:tc>
          <w:tcPr>
            <w:tcW w:w="3229" w:type="dxa"/>
            <w:noWrap/>
            <w:vAlign w:val="center"/>
            <w:hideMark/>
          </w:tcPr>
          <w:p w14:paraId="6AF3F465" w14:textId="0180A71E" w:rsidR="006F24B9" w:rsidRPr="00482B1C" w:rsidRDefault="006F24B9" w:rsidP="006831FD">
            <w:pPr>
              <w:jc w:val="right"/>
              <w:rPr>
                <w:color w:val="000000"/>
              </w:rPr>
            </w:pPr>
            <w:r w:rsidRPr="00482B1C">
              <w:rPr>
                <w:color w:val="000000"/>
              </w:rPr>
              <w:t xml:space="preserve">     2.597</w:t>
            </w:r>
            <w:r w:rsidR="00DC42A9" w:rsidRPr="00482B1C">
              <w:rPr>
                <w:color w:val="000000"/>
              </w:rPr>
              <w:t xml:space="preserve"> tỷ đồng</w:t>
            </w:r>
          </w:p>
        </w:tc>
      </w:tr>
    </w:tbl>
    <w:p w14:paraId="076D6BDF" w14:textId="54B22B20" w:rsidR="00435A84" w:rsidRPr="00482B1C" w:rsidRDefault="00471890" w:rsidP="00435A84">
      <w:pPr>
        <w:spacing w:before="120" w:after="120" w:line="276" w:lineRule="auto"/>
        <w:ind w:firstLine="709"/>
        <w:jc w:val="both"/>
        <w:rPr>
          <w:b/>
          <w:iCs/>
          <w:lang w:val="vi-VN"/>
        </w:rPr>
      </w:pPr>
      <w:r w:rsidRPr="00482B1C">
        <w:rPr>
          <w:b/>
          <w:iCs/>
        </w:rPr>
        <w:t xml:space="preserve">3. </w:t>
      </w:r>
      <w:r w:rsidR="00435A84" w:rsidRPr="00482B1C">
        <w:rPr>
          <w:b/>
          <w:iCs/>
          <w:lang w:val="vi-VN"/>
        </w:rPr>
        <w:t>Dự kiến số lượng thu hút</w:t>
      </w:r>
      <w:r w:rsidR="00BE4963" w:rsidRPr="00482B1C">
        <w:rPr>
          <w:b/>
          <w:iCs/>
        </w:rPr>
        <w:t xml:space="preserve">, </w:t>
      </w:r>
      <w:r w:rsidR="00D33BF9" w:rsidRPr="00482B1C">
        <w:rPr>
          <w:b/>
          <w:iCs/>
        </w:rPr>
        <w:t>hỗ trợ</w:t>
      </w:r>
      <w:r w:rsidR="00BE4963" w:rsidRPr="00482B1C">
        <w:rPr>
          <w:b/>
          <w:iCs/>
        </w:rPr>
        <w:t xml:space="preserve"> đào tạo</w:t>
      </w:r>
      <w:r w:rsidR="00435A84" w:rsidRPr="00482B1C">
        <w:rPr>
          <w:b/>
          <w:iCs/>
          <w:lang w:val="vi-VN"/>
        </w:rPr>
        <w:t xml:space="preserve"> và kinh phí chi trả</w:t>
      </w:r>
    </w:p>
    <w:p w14:paraId="102DCC9D" w14:textId="77777777" w:rsidR="00B52821" w:rsidRPr="00482B1C" w:rsidRDefault="00BA5A59" w:rsidP="00B52821">
      <w:pPr>
        <w:widowControl w:val="0"/>
        <w:spacing w:before="120" w:after="120" w:line="276" w:lineRule="auto"/>
        <w:ind w:firstLine="400"/>
        <w:jc w:val="both"/>
        <w:rPr>
          <w:bCs/>
          <w:color w:val="000000"/>
          <w:lang w:val="vi-VN"/>
        </w:rPr>
      </w:pPr>
      <w:r w:rsidRPr="00482B1C">
        <w:rPr>
          <w:bCs/>
          <w:color w:val="000000"/>
          <w:lang w:val="vi-VN"/>
        </w:rPr>
        <w:t>a) Đối với chính sách thu hút:</w:t>
      </w:r>
    </w:p>
    <w:p w14:paraId="34250238" w14:textId="10EF4053" w:rsidR="00B52821" w:rsidRPr="00482B1C" w:rsidRDefault="00B52821" w:rsidP="00B52821">
      <w:pPr>
        <w:widowControl w:val="0"/>
        <w:spacing w:before="120" w:after="120" w:line="276" w:lineRule="auto"/>
        <w:ind w:firstLine="400"/>
        <w:jc w:val="both"/>
        <w:rPr>
          <w:bCs/>
          <w:color w:val="000000"/>
          <w:lang w:val="vi-VN"/>
        </w:rPr>
      </w:pPr>
      <w:r w:rsidRPr="00482B1C">
        <w:rPr>
          <w:b/>
          <w:i/>
          <w:iCs/>
          <w:color w:val="000000"/>
          <w:lang w:val="vi-VN"/>
        </w:rPr>
        <w:t xml:space="preserve">- Về số lượng thu hút: </w:t>
      </w:r>
      <w:r w:rsidRPr="00482B1C">
        <w:rPr>
          <w:bCs/>
          <w:color w:val="000000"/>
          <w:lang w:val="vi-VN"/>
        </w:rPr>
        <w:t xml:space="preserve">Dự kiến thu hút trong năm 2026 là </w:t>
      </w:r>
      <w:r w:rsidRPr="00482B1C">
        <w:rPr>
          <w:b/>
          <w:color w:val="000000"/>
          <w:lang w:val="vi-VN"/>
        </w:rPr>
        <w:t>05</w:t>
      </w:r>
      <w:r w:rsidRPr="00482B1C">
        <w:rPr>
          <w:bCs/>
          <w:color w:val="000000"/>
          <w:lang w:val="vi-VN"/>
        </w:rPr>
        <w:t xml:space="preserve"> trường hợp và giai đoạn 2026 – 2031, mỗi năm thu hút khoảng từ </w:t>
      </w:r>
      <w:r w:rsidRPr="00482B1C">
        <w:rPr>
          <w:b/>
          <w:color w:val="000000"/>
          <w:lang w:val="vi-VN"/>
        </w:rPr>
        <w:t>05</w:t>
      </w:r>
      <w:r w:rsidRPr="00482B1C">
        <w:rPr>
          <w:bCs/>
          <w:color w:val="000000"/>
          <w:lang w:val="vi-VN"/>
        </w:rPr>
        <w:t xml:space="preserve"> đến </w:t>
      </w:r>
      <w:r w:rsidRPr="00482B1C">
        <w:rPr>
          <w:b/>
          <w:color w:val="000000"/>
          <w:lang w:val="vi-VN"/>
        </w:rPr>
        <w:t>10</w:t>
      </w:r>
      <w:r w:rsidRPr="00482B1C">
        <w:rPr>
          <w:bCs/>
          <w:color w:val="000000"/>
          <w:lang w:val="vi-VN"/>
        </w:rPr>
        <w:t xml:space="preserve"> trường hợp.</w:t>
      </w:r>
    </w:p>
    <w:p w14:paraId="24358EFC" w14:textId="57DBD6CF" w:rsidR="00FA24E8" w:rsidRPr="00482B1C" w:rsidRDefault="00F66762" w:rsidP="00FA24E8">
      <w:pPr>
        <w:widowControl w:val="0"/>
        <w:spacing w:before="120" w:after="120" w:line="276" w:lineRule="auto"/>
        <w:ind w:firstLine="426"/>
        <w:jc w:val="both"/>
        <w:rPr>
          <w:bCs/>
          <w:color w:val="000000"/>
          <w:lang w:val="vi-VN"/>
        </w:rPr>
      </w:pPr>
      <w:r w:rsidRPr="00482B1C">
        <w:rPr>
          <w:b/>
          <w:i/>
          <w:iCs/>
          <w:color w:val="000000"/>
          <w:lang w:val="vi-VN"/>
        </w:rPr>
        <w:t>- Dự kiến kinh phí thực hiện chính sách thu hút:</w:t>
      </w:r>
      <w:r w:rsidR="00FA24E8" w:rsidRPr="00482B1C">
        <w:rPr>
          <w:b/>
          <w:i/>
          <w:iCs/>
          <w:color w:val="000000"/>
          <w:lang w:val="vi-VN"/>
        </w:rPr>
        <w:t xml:space="preserve"> </w:t>
      </w:r>
      <w:r w:rsidR="00FA24E8" w:rsidRPr="00482B1C">
        <w:rPr>
          <w:bCs/>
          <w:color w:val="000000"/>
          <w:lang w:val="vi-VN"/>
        </w:rPr>
        <w:t>Dự kiến tổng ngân sách bố trí để chi trả chính sách hỗ trợ ban đầu và hỗ trợ tiền thuê nhà</w:t>
      </w:r>
      <w:r w:rsidR="0069506E" w:rsidRPr="00482B1C">
        <w:rPr>
          <w:bCs/>
          <w:color w:val="000000"/>
          <w:lang w:val="vi-VN"/>
        </w:rPr>
        <w:t xml:space="preserve"> và tiền lương chuyên </w:t>
      </w:r>
      <w:r w:rsidR="0069506E" w:rsidRPr="00482B1C">
        <w:rPr>
          <w:bCs/>
          <w:color w:val="000000"/>
          <w:lang w:val="vi-VN"/>
        </w:rPr>
        <w:lastRenderedPageBreak/>
        <w:t>gia</w:t>
      </w:r>
      <w:r w:rsidR="00FA24E8" w:rsidRPr="00482B1C">
        <w:rPr>
          <w:bCs/>
          <w:color w:val="000000"/>
          <w:lang w:val="vi-VN"/>
        </w:rPr>
        <w:t xml:space="preserve"> đối với các trường hợp được thu hút trong giai đoạn 2026 – 2031 khoảng từ </w:t>
      </w:r>
      <w:r w:rsidR="00292C88" w:rsidRPr="00482B1C">
        <w:rPr>
          <w:bCs/>
          <w:color w:val="000000"/>
          <w:lang w:val="vi-VN"/>
        </w:rPr>
        <w:t>79</w:t>
      </w:r>
      <w:r w:rsidR="00FA24E8" w:rsidRPr="00482B1C">
        <w:rPr>
          <w:bCs/>
          <w:color w:val="000000"/>
          <w:lang w:val="vi-VN"/>
        </w:rPr>
        <w:t>.</w:t>
      </w:r>
      <w:r w:rsidR="00292C88" w:rsidRPr="00482B1C">
        <w:rPr>
          <w:bCs/>
          <w:color w:val="000000"/>
          <w:lang w:val="vi-VN"/>
        </w:rPr>
        <w:t>2</w:t>
      </w:r>
      <w:r w:rsidR="00FA24E8" w:rsidRPr="00482B1C">
        <w:rPr>
          <w:bCs/>
          <w:color w:val="000000"/>
          <w:lang w:val="vi-VN"/>
        </w:rPr>
        <w:t xml:space="preserve">00 đến dưới </w:t>
      </w:r>
      <w:r w:rsidR="00292C88" w:rsidRPr="00482B1C">
        <w:rPr>
          <w:bCs/>
          <w:color w:val="000000"/>
          <w:lang w:val="vi-VN"/>
        </w:rPr>
        <w:t>140</w:t>
      </w:r>
      <w:r w:rsidR="00FA24E8" w:rsidRPr="00482B1C">
        <w:rPr>
          <w:bCs/>
          <w:color w:val="000000"/>
          <w:lang w:val="vi-VN"/>
        </w:rPr>
        <w:t>.</w:t>
      </w:r>
      <w:r w:rsidR="00292C88" w:rsidRPr="00482B1C">
        <w:rPr>
          <w:bCs/>
          <w:color w:val="000000"/>
          <w:lang w:val="vi-VN"/>
        </w:rPr>
        <w:t>2</w:t>
      </w:r>
      <w:r w:rsidR="00FA24E8" w:rsidRPr="00482B1C">
        <w:rPr>
          <w:bCs/>
          <w:color w:val="000000"/>
          <w:lang w:val="vi-VN"/>
        </w:rPr>
        <w:t>00 triệu đồng</w:t>
      </w:r>
      <w:r w:rsidR="009E5D35" w:rsidRPr="00482B1C">
        <w:rPr>
          <w:bCs/>
          <w:color w:val="000000"/>
          <w:lang w:val="vi-VN"/>
        </w:rPr>
        <w:t>, cụ thể chi tiết như sau:</w:t>
      </w:r>
    </w:p>
    <w:p w14:paraId="25870A5B" w14:textId="4066EFC8" w:rsidR="00435A84" w:rsidRPr="00482B1C" w:rsidRDefault="00435A84" w:rsidP="00435A84">
      <w:pPr>
        <w:widowControl w:val="0"/>
        <w:spacing w:before="120" w:after="120" w:line="276" w:lineRule="auto"/>
        <w:ind w:firstLine="400"/>
        <w:jc w:val="both"/>
        <w:rPr>
          <w:bCs/>
          <w:color w:val="000000"/>
          <w:lang w:val="vi-VN"/>
        </w:rPr>
      </w:pPr>
      <w:r w:rsidRPr="00482B1C">
        <w:rPr>
          <w:bCs/>
          <w:i/>
          <w:iCs/>
          <w:color w:val="000000"/>
          <w:lang w:val="vi-VN"/>
        </w:rPr>
        <w:t xml:space="preserve">+ </w:t>
      </w:r>
      <w:r w:rsidR="006A3C26" w:rsidRPr="00482B1C">
        <w:rPr>
          <w:bCs/>
          <w:i/>
          <w:iCs/>
          <w:color w:val="000000"/>
          <w:lang w:val="vi-VN"/>
        </w:rPr>
        <w:t>D</w:t>
      </w:r>
      <w:r w:rsidR="001632B7" w:rsidRPr="00482B1C">
        <w:rPr>
          <w:bCs/>
          <w:i/>
          <w:iCs/>
          <w:color w:val="000000"/>
          <w:lang w:val="vi-VN"/>
        </w:rPr>
        <w:t>ự kiến kinh phí</w:t>
      </w:r>
      <w:r w:rsidRPr="00482B1C">
        <w:rPr>
          <w:bCs/>
          <w:i/>
          <w:iCs/>
          <w:color w:val="000000"/>
          <w:lang w:val="vi-VN"/>
        </w:rPr>
        <w:t xml:space="preserve"> bố trí để chi trả chính sách hỗ trợ ban đầu giai đoạn 2026 - 2031:</w:t>
      </w:r>
      <w:r w:rsidRPr="00482B1C">
        <w:rPr>
          <w:bCs/>
          <w:color w:val="000000"/>
          <w:lang w:val="vi-VN"/>
        </w:rPr>
        <w:t xml:space="preserve"> Dự kiến khoảng từ </w:t>
      </w:r>
      <w:r w:rsidR="0050646C" w:rsidRPr="00482B1C">
        <w:rPr>
          <w:bCs/>
          <w:color w:val="000000"/>
          <w:lang w:val="vi-VN"/>
        </w:rPr>
        <w:t>30</w:t>
      </w:r>
      <w:r w:rsidRPr="00482B1C">
        <w:rPr>
          <w:bCs/>
          <w:color w:val="000000"/>
          <w:lang w:val="vi-VN"/>
        </w:rPr>
        <w:t xml:space="preserve">.000 triệu đồng đến </w:t>
      </w:r>
      <w:r w:rsidR="0050646C" w:rsidRPr="00482B1C">
        <w:rPr>
          <w:bCs/>
          <w:color w:val="000000"/>
          <w:lang w:val="vi-VN"/>
        </w:rPr>
        <w:t>55</w:t>
      </w:r>
      <w:r w:rsidRPr="00482B1C">
        <w:rPr>
          <w:bCs/>
          <w:color w:val="000000"/>
          <w:lang w:val="vi-VN"/>
        </w:rPr>
        <w:t>.</w:t>
      </w:r>
      <w:r w:rsidR="0050646C" w:rsidRPr="00482B1C">
        <w:rPr>
          <w:bCs/>
          <w:color w:val="000000"/>
          <w:lang w:val="vi-VN"/>
        </w:rPr>
        <w:t>0</w:t>
      </w:r>
      <w:r w:rsidRPr="00482B1C">
        <w:rPr>
          <w:bCs/>
          <w:color w:val="000000"/>
          <w:lang w:val="vi-VN"/>
        </w:rPr>
        <w:t>00 triệu đồng, cụ thể:</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5"/>
        <w:gridCol w:w="3099"/>
        <w:gridCol w:w="3100"/>
      </w:tblGrid>
      <w:tr w:rsidR="003F32D6" w:rsidRPr="00482B1C" w14:paraId="2B7697A6" w14:textId="77777777" w:rsidTr="00F97B29">
        <w:trPr>
          <w:trHeight w:val="331"/>
        </w:trPr>
        <w:tc>
          <w:tcPr>
            <w:tcW w:w="2815" w:type="dxa"/>
            <w:vMerge w:val="restart"/>
            <w:vAlign w:val="center"/>
            <w:hideMark/>
          </w:tcPr>
          <w:p w14:paraId="785AE326" w14:textId="77777777" w:rsidR="003F32D6" w:rsidRPr="00482B1C" w:rsidRDefault="003F32D6" w:rsidP="003F32D6">
            <w:pPr>
              <w:jc w:val="center"/>
              <w:rPr>
                <w:b/>
                <w:bCs/>
                <w:color w:val="000000"/>
                <w:lang w:val="vi-VN" w:eastAsia="vi-VN"/>
              </w:rPr>
            </w:pPr>
            <w:r w:rsidRPr="00482B1C">
              <w:rPr>
                <w:b/>
                <w:bCs/>
                <w:color w:val="000000"/>
                <w:lang w:eastAsia="vi-VN"/>
              </w:rPr>
              <w:t>Thời gian</w:t>
            </w:r>
          </w:p>
        </w:tc>
        <w:tc>
          <w:tcPr>
            <w:tcW w:w="6199" w:type="dxa"/>
            <w:gridSpan w:val="2"/>
            <w:vAlign w:val="center"/>
            <w:hideMark/>
          </w:tcPr>
          <w:p w14:paraId="51C91D51" w14:textId="77777777" w:rsidR="003F32D6" w:rsidRPr="00482B1C" w:rsidRDefault="003F32D6" w:rsidP="003F32D6">
            <w:pPr>
              <w:jc w:val="center"/>
              <w:rPr>
                <w:b/>
                <w:bCs/>
                <w:color w:val="000000"/>
                <w:lang w:val="vi-VN" w:eastAsia="vi-VN"/>
              </w:rPr>
            </w:pPr>
            <w:r w:rsidRPr="00482B1C">
              <w:rPr>
                <w:b/>
                <w:bCs/>
                <w:color w:val="000000"/>
                <w:lang w:eastAsia="vi-VN"/>
              </w:rPr>
              <w:t>Dự kiến kinh phí</w:t>
            </w:r>
          </w:p>
        </w:tc>
      </w:tr>
      <w:tr w:rsidR="003F32D6" w:rsidRPr="00482B1C" w14:paraId="186355B2" w14:textId="77777777" w:rsidTr="00F97B29">
        <w:trPr>
          <w:trHeight w:val="331"/>
        </w:trPr>
        <w:tc>
          <w:tcPr>
            <w:tcW w:w="2815" w:type="dxa"/>
            <w:vMerge/>
            <w:vAlign w:val="center"/>
            <w:hideMark/>
          </w:tcPr>
          <w:p w14:paraId="7FA4925E" w14:textId="77777777" w:rsidR="003F32D6" w:rsidRPr="00482B1C" w:rsidRDefault="003F32D6" w:rsidP="003F32D6">
            <w:pPr>
              <w:rPr>
                <w:b/>
                <w:bCs/>
                <w:color w:val="000000"/>
                <w:lang w:val="vi-VN" w:eastAsia="vi-VN"/>
              </w:rPr>
            </w:pPr>
          </w:p>
        </w:tc>
        <w:tc>
          <w:tcPr>
            <w:tcW w:w="3099" w:type="dxa"/>
            <w:vAlign w:val="center"/>
            <w:hideMark/>
          </w:tcPr>
          <w:p w14:paraId="679022E5" w14:textId="77777777" w:rsidR="003F32D6" w:rsidRPr="00482B1C" w:rsidRDefault="003F32D6" w:rsidP="003F32D6">
            <w:pPr>
              <w:jc w:val="center"/>
              <w:rPr>
                <w:b/>
                <w:bCs/>
                <w:color w:val="000000"/>
                <w:lang w:val="vi-VN" w:eastAsia="vi-VN"/>
              </w:rPr>
            </w:pPr>
            <w:r w:rsidRPr="00482B1C">
              <w:rPr>
                <w:b/>
                <w:bCs/>
                <w:color w:val="000000"/>
                <w:lang w:eastAsia="vi-VN"/>
              </w:rPr>
              <w:t xml:space="preserve">05 người </w:t>
            </w:r>
            <w:r w:rsidRPr="00482B1C">
              <w:rPr>
                <w:i/>
                <w:iCs/>
                <w:color w:val="000000"/>
                <w:lang w:eastAsia="vi-VN"/>
              </w:rPr>
              <w:t>(triệu đồng)</w:t>
            </w:r>
          </w:p>
        </w:tc>
        <w:tc>
          <w:tcPr>
            <w:tcW w:w="3099" w:type="dxa"/>
            <w:vAlign w:val="center"/>
            <w:hideMark/>
          </w:tcPr>
          <w:p w14:paraId="1F97AA0C" w14:textId="77777777" w:rsidR="003F32D6" w:rsidRPr="00482B1C" w:rsidRDefault="003F32D6" w:rsidP="003F32D6">
            <w:pPr>
              <w:jc w:val="center"/>
              <w:rPr>
                <w:b/>
                <w:bCs/>
                <w:color w:val="000000"/>
                <w:lang w:val="vi-VN" w:eastAsia="vi-VN"/>
              </w:rPr>
            </w:pPr>
            <w:r w:rsidRPr="00482B1C">
              <w:rPr>
                <w:b/>
                <w:bCs/>
                <w:color w:val="000000"/>
                <w:lang w:eastAsia="vi-VN"/>
              </w:rPr>
              <w:t xml:space="preserve">10 người </w:t>
            </w:r>
            <w:r w:rsidRPr="00482B1C">
              <w:rPr>
                <w:i/>
                <w:iCs/>
                <w:color w:val="000000"/>
                <w:lang w:eastAsia="vi-VN"/>
              </w:rPr>
              <w:t>(triệu đồng)</w:t>
            </w:r>
          </w:p>
        </w:tc>
      </w:tr>
      <w:tr w:rsidR="003F32D6" w:rsidRPr="00482B1C" w14:paraId="10EDBA84" w14:textId="77777777" w:rsidTr="00F97B29">
        <w:trPr>
          <w:trHeight w:val="331"/>
        </w:trPr>
        <w:tc>
          <w:tcPr>
            <w:tcW w:w="2815" w:type="dxa"/>
            <w:vAlign w:val="center"/>
            <w:hideMark/>
          </w:tcPr>
          <w:p w14:paraId="35DB3E25" w14:textId="77777777" w:rsidR="003F32D6" w:rsidRPr="00482B1C" w:rsidRDefault="003F32D6" w:rsidP="003F32D6">
            <w:pPr>
              <w:jc w:val="center"/>
              <w:rPr>
                <w:color w:val="000000"/>
                <w:lang w:val="vi-VN" w:eastAsia="vi-VN"/>
              </w:rPr>
            </w:pPr>
            <w:r w:rsidRPr="00482B1C">
              <w:rPr>
                <w:bCs/>
                <w:color w:val="000000"/>
                <w:lang w:eastAsia="vi-VN"/>
              </w:rPr>
              <w:t>2026</w:t>
            </w:r>
          </w:p>
        </w:tc>
        <w:tc>
          <w:tcPr>
            <w:tcW w:w="6199" w:type="dxa"/>
            <w:gridSpan w:val="2"/>
            <w:vAlign w:val="center"/>
            <w:hideMark/>
          </w:tcPr>
          <w:p w14:paraId="36EBD8ED" w14:textId="77777777" w:rsidR="003F32D6" w:rsidRPr="00482B1C" w:rsidRDefault="003F32D6" w:rsidP="003F32D6">
            <w:pPr>
              <w:jc w:val="center"/>
              <w:rPr>
                <w:color w:val="000000"/>
                <w:lang w:val="vi-VN" w:eastAsia="vi-VN"/>
              </w:rPr>
            </w:pPr>
            <w:r w:rsidRPr="00482B1C">
              <w:rPr>
                <w:color w:val="000000"/>
                <w:lang w:eastAsia="vi-VN"/>
              </w:rPr>
              <w:t>5.000</w:t>
            </w:r>
          </w:p>
        </w:tc>
      </w:tr>
      <w:tr w:rsidR="003F32D6" w:rsidRPr="00482B1C" w14:paraId="5F9F9E95" w14:textId="77777777" w:rsidTr="00F97B29">
        <w:trPr>
          <w:trHeight w:val="331"/>
        </w:trPr>
        <w:tc>
          <w:tcPr>
            <w:tcW w:w="2815" w:type="dxa"/>
            <w:vAlign w:val="center"/>
            <w:hideMark/>
          </w:tcPr>
          <w:p w14:paraId="0B191932" w14:textId="77777777" w:rsidR="003F32D6" w:rsidRPr="00482B1C" w:rsidRDefault="003F32D6" w:rsidP="003F32D6">
            <w:pPr>
              <w:jc w:val="center"/>
              <w:rPr>
                <w:color w:val="000000"/>
                <w:lang w:val="vi-VN" w:eastAsia="vi-VN"/>
              </w:rPr>
            </w:pPr>
            <w:r w:rsidRPr="00482B1C">
              <w:rPr>
                <w:bCs/>
                <w:color w:val="000000"/>
                <w:lang w:eastAsia="vi-VN"/>
              </w:rPr>
              <w:t>2027</w:t>
            </w:r>
          </w:p>
        </w:tc>
        <w:tc>
          <w:tcPr>
            <w:tcW w:w="3099" w:type="dxa"/>
            <w:vAlign w:val="center"/>
            <w:hideMark/>
          </w:tcPr>
          <w:p w14:paraId="5CE85254" w14:textId="77777777" w:rsidR="003F32D6" w:rsidRPr="00482B1C" w:rsidRDefault="003F32D6" w:rsidP="003F32D6">
            <w:pPr>
              <w:jc w:val="center"/>
              <w:rPr>
                <w:color w:val="000000"/>
                <w:lang w:val="vi-VN" w:eastAsia="vi-VN"/>
              </w:rPr>
            </w:pPr>
            <w:r w:rsidRPr="00482B1C">
              <w:rPr>
                <w:color w:val="000000"/>
                <w:lang w:eastAsia="vi-VN"/>
              </w:rPr>
              <w:t>5.000</w:t>
            </w:r>
          </w:p>
        </w:tc>
        <w:tc>
          <w:tcPr>
            <w:tcW w:w="3099" w:type="dxa"/>
            <w:vAlign w:val="center"/>
            <w:hideMark/>
          </w:tcPr>
          <w:p w14:paraId="57AB3F13" w14:textId="77777777" w:rsidR="003F32D6" w:rsidRPr="00482B1C" w:rsidRDefault="003F32D6" w:rsidP="003F32D6">
            <w:pPr>
              <w:jc w:val="center"/>
              <w:rPr>
                <w:color w:val="000000"/>
                <w:lang w:val="vi-VN" w:eastAsia="vi-VN"/>
              </w:rPr>
            </w:pPr>
            <w:r w:rsidRPr="00482B1C">
              <w:rPr>
                <w:color w:val="000000"/>
                <w:lang w:val="vi-VN" w:eastAsia="vi-VN"/>
              </w:rPr>
              <w:t>10.000</w:t>
            </w:r>
          </w:p>
        </w:tc>
      </w:tr>
      <w:tr w:rsidR="003F32D6" w:rsidRPr="00482B1C" w14:paraId="5BC04681" w14:textId="77777777" w:rsidTr="00F97B29">
        <w:trPr>
          <w:trHeight w:val="331"/>
        </w:trPr>
        <w:tc>
          <w:tcPr>
            <w:tcW w:w="2815" w:type="dxa"/>
            <w:vAlign w:val="center"/>
            <w:hideMark/>
          </w:tcPr>
          <w:p w14:paraId="09939C70" w14:textId="77777777" w:rsidR="003F32D6" w:rsidRPr="00482B1C" w:rsidRDefault="003F32D6" w:rsidP="003F32D6">
            <w:pPr>
              <w:jc w:val="center"/>
              <w:rPr>
                <w:color w:val="000000"/>
                <w:lang w:val="vi-VN" w:eastAsia="vi-VN"/>
              </w:rPr>
            </w:pPr>
            <w:r w:rsidRPr="00482B1C">
              <w:rPr>
                <w:bCs/>
                <w:color w:val="000000"/>
                <w:lang w:eastAsia="vi-VN"/>
              </w:rPr>
              <w:t>2028</w:t>
            </w:r>
          </w:p>
        </w:tc>
        <w:tc>
          <w:tcPr>
            <w:tcW w:w="3099" w:type="dxa"/>
            <w:vAlign w:val="center"/>
            <w:hideMark/>
          </w:tcPr>
          <w:p w14:paraId="7EE53426" w14:textId="77777777" w:rsidR="003F32D6" w:rsidRPr="00482B1C" w:rsidRDefault="003F32D6" w:rsidP="003F32D6">
            <w:pPr>
              <w:jc w:val="center"/>
              <w:rPr>
                <w:color w:val="000000"/>
                <w:lang w:val="vi-VN" w:eastAsia="vi-VN"/>
              </w:rPr>
            </w:pPr>
            <w:r w:rsidRPr="00482B1C">
              <w:rPr>
                <w:color w:val="000000"/>
                <w:lang w:val="vi-VN" w:eastAsia="vi-VN"/>
              </w:rPr>
              <w:t>5.000</w:t>
            </w:r>
          </w:p>
        </w:tc>
        <w:tc>
          <w:tcPr>
            <w:tcW w:w="3099" w:type="dxa"/>
            <w:vAlign w:val="center"/>
            <w:hideMark/>
          </w:tcPr>
          <w:p w14:paraId="3A0E903D" w14:textId="77777777" w:rsidR="003F32D6" w:rsidRPr="00482B1C" w:rsidRDefault="003F32D6" w:rsidP="003F32D6">
            <w:pPr>
              <w:jc w:val="center"/>
              <w:rPr>
                <w:color w:val="000000"/>
                <w:lang w:val="vi-VN" w:eastAsia="vi-VN"/>
              </w:rPr>
            </w:pPr>
            <w:r w:rsidRPr="00482B1C">
              <w:rPr>
                <w:color w:val="000000"/>
                <w:lang w:val="vi-VN" w:eastAsia="vi-VN"/>
              </w:rPr>
              <w:t>10.000</w:t>
            </w:r>
          </w:p>
        </w:tc>
      </w:tr>
      <w:tr w:rsidR="003F32D6" w:rsidRPr="00482B1C" w14:paraId="10E4BBBF" w14:textId="77777777" w:rsidTr="00F97B29">
        <w:trPr>
          <w:trHeight w:val="331"/>
        </w:trPr>
        <w:tc>
          <w:tcPr>
            <w:tcW w:w="2815" w:type="dxa"/>
            <w:vAlign w:val="center"/>
            <w:hideMark/>
          </w:tcPr>
          <w:p w14:paraId="7A5DB49A" w14:textId="77777777" w:rsidR="003F32D6" w:rsidRPr="00482B1C" w:rsidRDefault="003F32D6" w:rsidP="003F32D6">
            <w:pPr>
              <w:jc w:val="center"/>
              <w:rPr>
                <w:color w:val="000000"/>
                <w:lang w:val="vi-VN" w:eastAsia="vi-VN"/>
              </w:rPr>
            </w:pPr>
            <w:r w:rsidRPr="00482B1C">
              <w:rPr>
                <w:bCs/>
                <w:color w:val="000000"/>
                <w:lang w:eastAsia="vi-VN"/>
              </w:rPr>
              <w:t>2029</w:t>
            </w:r>
          </w:p>
        </w:tc>
        <w:tc>
          <w:tcPr>
            <w:tcW w:w="3099" w:type="dxa"/>
            <w:vAlign w:val="center"/>
            <w:hideMark/>
          </w:tcPr>
          <w:p w14:paraId="77E66DCE" w14:textId="77777777" w:rsidR="003F32D6" w:rsidRPr="00482B1C" w:rsidRDefault="003F32D6" w:rsidP="003F32D6">
            <w:pPr>
              <w:jc w:val="center"/>
              <w:rPr>
                <w:color w:val="000000"/>
                <w:lang w:val="vi-VN" w:eastAsia="vi-VN"/>
              </w:rPr>
            </w:pPr>
            <w:r w:rsidRPr="00482B1C">
              <w:rPr>
                <w:color w:val="000000"/>
                <w:lang w:val="vi-VN" w:eastAsia="vi-VN"/>
              </w:rPr>
              <w:t>5.000</w:t>
            </w:r>
          </w:p>
        </w:tc>
        <w:tc>
          <w:tcPr>
            <w:tcW w:w="3099" w:type="dxa"/>
            <w:vAlign w:val="center"/>
            <w:hideMark/>
          </w:tcPr>
          <w:p w14:paraId="5E0F6D66" w14:textId="77777777" w:rsidR="003F32D6" w:rsidRPr="00482B1C" w:rsidRDefault="003F32D6" w:rsidP="003F32D6">
            <w:pPr>
              <w:jc w:val="center"/>
              <w:rPr>
                <w:color w:val="000000"/>
                <w:lang w:val="vi-VN" w:eastAsia="vi-VN"/>
              </w:rPr>
            </w:pPr>
            <w:r w:rsidRPr="00482B1C">
              <w:rPr>
                <w:color w:val="000000"/>
                <w:lang w:val="vi-VN" w:eastAsia="vi-VN"/>
              </w:rPr>
              <w:t>10.000</w:t>
            </w:r>
          </w:p>
        </w:tc>
      </w:tr>
      <w:tr w:rsidR="003F32D6" w:rsidRPr="00482B1C" w14:paraId="4C8928EB" w14:textId="77777777" w:rsidTr="00F97B29">
        <w:trPr>
          <w:trHeight w:val="331"/>
        </w:trPr>
        <w:tc>
          <w:tcPr>
            <w:tcW w:w="2815" w:type="dxa"/>
            <w:vAlign w:val="center"/>
            <w:hideMark/>
          </w:tcPr>
          <w:p w14:paraId="32035220" w14:textId="77777777" w:rsidR="003F32D6" w:rsidRPr="00482B1C" w:rsidRDefault="003F32D6" w:rsidP="003F32D6">
            <w:pPr>
              <w:jc w:val="center"/>
              <w:rPr>
                <w:color w:val="000000"/>
                <w:lang w:val="vi-VN" w:eastAsia="vi-VN"/>
              </w:rPr>
            </w:pPr>
            <w:r w:rsidRPr="00482B1C">
              <w:rPr>
                <w:bCs/>
                <w:color w:val="000000"/>
                <w:lang w:eastAsia="vi-VN"/>
              </w:rPr>
              <w:t>2030</w:t>
            </w:r>
          </w:p>
        </w:tc>
        <w:tc>
          <w:tcPr>
            <w:tcW w:w="3099" w:type="dxa"/>
            <w:vAlign w:val="center"/>
            <w:hideMark/>
          </w:tcPr>
          <w:p w14:paraId="447250E5" w14:textId="77777777" w:rsidR="003F32D6" w:rsidRPr="00482B1C" w:rsidRDefault="003F32D6" w:rsidP="003F32D6">
            <w:pPr>
              <w:jc w:val="center"/>
              <w:rPr>
                <w:color w:val="000000"/>
                <w:lang w:val="vi-VN" w:eastAsia="vi-VN"/>
              </w:rPr>
            </w:pPr>
            <w:r w:rsidRPr="00482B1C">
              <w:rPr>
                <w:color w:val="000000"/>
                <w:lang w:val="vi-VN" w:eastAsia="vi-VN"/>
              </w:rPr>
              <w:t>5.000</w:t>
            </w:r>
          </w:p>
        </w:tc>
        <w:tc>
          <w:tcPr>
            <w:tcW w:w="3099" w:type="dxa"/>
            <w:vAlign w:val="center"/>
            <w:hideMark/>
          </w:tcPr>
          <w:p w14:paraId="70962EAA" w14:textId="77777777" w:rsidR="003F32D6" w:rsidRPr="00482B1C" w:rsidRDefault="003F32D6" w:rsidP="003F32D6">
            <w:pPr>
              <w:jc w:val="center"/>
              <w:rPr>
                <w:color w:val="000000"/>
                <w:lang w:val="vi-VN" w:eastAsia="vi-VN"/>
              </w:rPr>
            </w:pPr>
            <w:r w:rsidRPr="00482B1C">
              <w:rPr>
                <w:color w:val="000000"/>
                <w:lang w:val="vi-VN" w:eastAsia="vi-VN"/>
              </w:rPr>
              <w:t>10.000</w:t>
            </w:r>
          </w:p>
        </w:tc>
      </w:tr>
      <w:tr w:rsidR="003F32D6" w:rsidRPr="00482B1C" w14:paraId="6C9DAC0C" w14:textId="77777777" w:rsidTr="00F97B29">
        <w:trPr>
          <w:trHeight w:val="331"/>
        </w:trPr>
        <w:tc>
          <w:tcPr>
            <w:tcW w:w="2815" w:type="dxa"/>
            <w:vAlign w:val="center"/>
            <w:hideMark/>
          </w:tcPr>
          <w:p w14:paraId="44F38E45" w14:textId="77777777" w:rsidR="003F32D6" w:rsidRPr="00482B1C" w:rsidRDefault="003F32D6" w:rsidP="003F32D6">
            <w:pPr>
              <w:jc w:val="center"/>
              <w:rPr>
                <w:color w:val="000000"/>
                <w:lang w:val="vi-VN" w:eastAsia="vi-VN"/>
              </w:rPr>
            </w:pPr>
            <w:r w:rsidRPr="00482B1C">
              <w:rPr>
                <w:bCs/>
                <w:color w:val="000000"/>
                <w:lang w:eastAsia="vi-VN"/>
              </w:rPr>
              <w:t>2031</w:t>
            </w:r>
          </w:p>
        </w:tc>
        <w:tc>
          <w:tcPr>
            <w:tcW w:w="3099" w:type="dxa"/>
            <w:vAlign w:val="center"/>
            <w:hideMark/>
          </w:tcPr>
          <w:p w14:paraId="4EA5D12C" w14:textId="77777777" w:rsidR="003F32D6" w:rsidRPr="00482B1C" w:rsidRDefault="003F32D6" w:rsidP="003F32D6">
            <w:pPr>
              <w:jc w:val="center"/>
              <w:rPr>
                <w:color w:val="000000"/>
                <w:lang w:val="vi-VN" w:eastAsia="vi-VN"/>
              </w:rPr>
            </w:pPr>
            <w:r w:rsidRPr="00482B1C">
              <w:rPr>
                <w:color w:val="000000"/>
                <w:lang w:val="vi-VN" w:eastAsia="vi-VN"/>
              </w:rPr>
              <w:t>5.000</w:t>
            </w:r>
          </w:p>
        </w:tc>
        <w:tc>
          <w:tcPr>
            <w:tcW w:w="3099" w:type="dxa"/>
            <w:vAlign w:val="center"/>
            <w:hideMark/>
          </w:tcPr>
          <w:p w14:paraId="4A56523C" w14:textId="77777777" w:rsidR="003F32D6" w:rsidRPr="00482B1C" w:rsidRDefault="003F32D6" w:rsidP="003F32D6">
            <w:pPr>
              <w:jc w:val="center"/>
              <w:rPr>
                <w:color w:val="000000"/>
                <w:lang w:val="vi-VN" w:eastAsia="vi-VN"/>
              </w:rPr>
            </w:pPr>
            <w:r w:rsidRPr="00482B1C">
              <w:rPr>
                <w:color w:val="000000"/>
                <w:lang w:val="vi-VN" w:eastAsia="vi-VN"/>
              </w:rPr>
              <w:t>10.000</w:t>
            </w:r>
          </w:p>
        </w:tc>
      </w:tr>
      <w:tr w:rsidR="003F32D6" w:rsidRPr="00482B1C" w14:paraId="0E8C13D4" w14:textId="77777777" w:rsidTr="00F97B29">
        <w:trPr>
          <w:trHeight w:val="331"/>
        </w:trPr>
        <w:tc>
          <w:tcPr>
            <w:tcW w:w="2815" w:type="dxa"/>
            <w:vAlign w:val="center"/>
            <w:hideMark/>
          </w:tcPr>
          <w:p w14:paraId="77DE49E8" w14:textId="77777777" w:rsidR="003F32D6" w:rsidRPr="00482B1C" w:rsidRDefault="003F32D6" w:rsidP="003F32D6">
            <w:pPr>
              <w:jc w:val="center"/>
              <w:rPr>
                <w:b/>
                <w:bCs/>
                <w:color w:val="000000"/>
                <w:lang w:val="vi-VN" w:eastAsia="vi-VN"/>
              </w:rPr>
            </w:pPr>
            <w:r w:rsidRPr="00482B1C">
              <w:rPr>
                <w:b/>
                <w:bCs/>
                <w:color w:val="000000"/>
                <w:lang w:eastAsia="vi-VN"/>
              </w:rPr>
              <w:t>2026 - 2031</w:t>
            </w:r>
          </w:p>
        </w:tc>
        <w:tc>
          <w:tcPr>
            <w:tcW w:w="3099" w:type="dxa"/>
            <w:vAlign w:val="center"/>
            <w:hideMark/>
          </w:tcPr>
          <w:p w14:paraId="25C64BBC" w14:textId="77777777" w:rsidR="003F32D6" w:rsidRPr="00482B1C" w:rsidRDefault="003F32D6" w:rsidP="003F32D6">
            <w:pPr>
              <w:jc w:val="center"/>
              <w:rPr>
                <w:b/>
                <w:bCs/>
                <w:color w:val="000000"/>
                <w:lang w:val="vi-VN" w:eastAsia="vi-VN"/>
              </w:rPr>
            </w:pPr>
            <w:r w:rsidRPr="00482B1C">
              <w:rPr>
                <w:b/>
                <w:bCs/>
                <w:color w:val="000000"/>
                <w:lang w:eastAsia="vi-VN"/>
              </w:rPr>
              <w:t>30.000</w:t>
            </w:r>
          </w:p>
        </w:tc>
        <w:tc>
          <w:tcPr>
            <w:tcW w:w="3099" w:type="dxa"/>
            <w:vAlign w:val="center"/>
            <w:hideMark/>
          </w:tcPr>
          <w:p w14:paraId="435427EA" w14:textId="77777777" w:rsidR="003F32D6" w:rsidRPr="00482B1C" w:rsidRDefault="003F32D6" w:rsidP="003F32D6">
            <w:pPr>
              <w:jc w:val="center"/>
              <w:rPr>
                <w:b/>
                <w:bCs/>
                <w:color w:val="000000"/>
                <w:lang w:val="vi-VN" w:eastAsia="vi-VN"/>
              </w:rPr>
            </w:pPr>
            <w:r w:rsidRPr="00482B1C">
              <w:rPr>
                <w:b/>
                <w:bCs/>
                <w:color w:val="000000"/>
                <w:lang w:eastAsia="vi-VN"/>
              </w:rPr>
              <w:t>55.000</w:t>
            </w:r>
          </w:p>
        </w:tc>
      </w:tr>
    </w:tbl>
    <w:p w14:paraId="714F2BB7" w14:textId="33F21131" w:rsidR="00435A84" w:rsidRPr="00482B1C" w:rsidRDefault="00435A84" w:rsidP="00435A84">
      <w:pPr>
        <w:widowControl w:val="0"/>
        <w:spacing w:before="120" w:after="120" w:line="276" w:lineRule="auto"/>
        <w:ind w:firstLine="426"/>
        <w:jc w:val="both"/>
        <w:rPr>
          <w:bCs/>
          <w:i/>
          <w:iCs/>
          <w:color w:val="000000"/>
          <w:spacing w:val="-8"/>
          <w:lang w:val="vi-VN"/>
        </w:rPr>
      </w:pPr>
      <w:r w:rsidRPr="00482B1C">
        <w:rPr>
          <w:bCs/>
          <w:i/>
          <w:iCs/>
          <w:color w:val="000000"/>
          <w:spacing w:val="-8"/>
          <w:lang w:val="vi-VN"/>
        </w:rPr>
        <w:t xml:space="preserve">Kinh phí chi trả dự kiến mỗi trường hợp trung bình </w:t>
      </w:r>
      <w:r w:rsidR="004B0AF2" w:rsidRPr="00482B1C">
        <w:rPr>
          <w:bCs/>
          <w:i/>
          <w:iCs/>
          <w:color w:val="000000"/>
          <w:spacing w:val="-8"/>
          <w:lang w:val="vi-VN"/>
        </w:rPr>
        <w:t>1.000</w:t>
      </w:r>
      <w:r w:rsidRPr="00482B1C">
        <w:rPr>
          <w:bCs/>
          <w:i/>
          <w:iCs/>
          <w:color w:val="000000"/>
          <w:spacing w:val="-8"/>
          <w:lang w:val="vi-VN"/>
        </w:rPr>
        <w:t xml:space="preserve"> triệu đồng.</w:t>
      </w:r>
    </w:p>
    <w:p w14:paraId="4C13211F" w14:textId="31A65677" w:rsidR="001632B7" w:rsidRPr="00482B1C" w:rsidRDefault="001632B7" w:rsidP="001632B7">
      <w:pPr>
        <w:widowControl w:val="0"/>
        <w:spacing w:before="120" w:after="120" w:line="276" w:lineRule="auto"/>
        <w:ind w:firstLine="400"/>
        <w:jc w:val="both"/>
        <w:rPr>
          <w:bCs/>
          <w:color w:val="000000"/>
          <w:lang w:val="vi-VN"/>
        </w:rPr>
      </w:pPr>
      <w:r w:rsidRPr="00482B1C">
        <w:rPr>
          <w:bCs/>
          <w:i/>
          <w:iCs/>
          <w:color w:val="000000"/>
          <w:lang w:val="vi-VN"/>
        </w:rPr>
        <w:t xml:space="preserve">+ </w:t>
      </w:r>
      <w:r w:rsidR="006A3C26" w:rsidRPr="00482B1C">
        <w:rPr>
          <w:bCs/>
          <w:i/>
          <w:iCs/>
          <w:color w:val="000000"/>
          <w:lang w:val="vi-VN"/>
        </w:rPr>
        <w:t>D</w:t>
      </w:r>
      <w:r w:rsidRPr="00482B1C">
        <w:rPr>
          <w:bCs/>
          <w:i/>
          <w:iCs/>
          <w:color w:val="000000"/>
          <w:lang w:val="vi-VN"/>
        </w:rPr>
        <w:t xml:space="preserve">ự kiến kinh phí bố trí để chi trả chính sách hỗ trợ </w:t>
      </w:r>
      <w:r w:rsidR="003F5EE1" w:rsidRPr="00482B1C">
        <w:rPr>
          <w:bCs/>
          <w:i/>
          <w:iCs/>
          <w:color w:val="000000"/>
          <w:lang w:val="vi-VN"/>
        </w:rPr>
        <w:t>thuê nhà</w:t>
      </w:r>
      <w:r w:rsidRPr="00482B1C">
        <w:rPr>
          <w:bCs/>
          <w:i/>
          <w:iCs/>
          <w:color w:val="000000"/>
          <w:lang w:val="vi-VN"/>
        </w:rPr>
        <w:t xml:space="preserve"> giai đoạn 2026 - 2031:</w:t>
      </w:r>
      <w:r w:rsidRPr="00482B1C">
        <w:rPr>
          <w:bCs/>
          <w:color w:val="000000"/>
          <w:lang w:val="vi-VN"/>
        </w:rPr>
        <w:t xml:space="preserve"> Dự kiến khoảng từ </w:t>
      </w:r>
      <w:r w:rsidR="007838A5" w:rsidRPr="00482B1C">
        <w:rPr>
          <w:bCs/>
          <w:color w:val="000000"/>
          <w:lang w:val="vi-VN"/>
        </w:rPr>
        <w:t>12</w:t>
      </w:r>
      <w:r w:rsidRPr="00482B1C">
        <w:rPr>
          <w:bCs/>
          <w:color w:val="000000"/>
          <w:lang w:val="vi-VN"/>
        </w:rPr>
        <w:t>.</w:t>
      </w:r>
      <w:r w:rsidR="007838A5" w:rsidRPr="00482B1C">
        <w:rPr>
          <w:bCs/>
          <w:color w:val="000000"/>
          <w:lang w:val="vi-VN"/>
        </w:rPr>
        <w:t>3</w:t>
      </w:r>
      <w:r w:rsidRPr="00482B1C">
        <w:rPr>
          <w:bCs/>
          <w:color w:val="000000"/>
          <w:lang w:val="vi-VN"/>
        </w:rPr>
        <w:t xml:space="preserve">00 triệu đồng đến </w:t>
      </w:r>
      <w:r w:rsidR="007838A5" w:rsidRPr="00482B1C">
        <w:rPr>
          <w:bCs/>
          <w:color w:val="000000"/>
          <w:lang w:val="vi-VN"/>
        </w:rPr>
        <w:t>21</w:t>
      </w:r>
      <w:r w:rsidRPr="00482B1C">
        <w:rPr>
          <w:bCs/>
          <w:color w:val="000000"/>
          <w:lang w:val="vi-VN"/>
        </w:rPr>
        <w:t>.</w:t>
      </w:r>
      <w:r w:rsidR="007838A5" w:rsidRPr="00482B1C">
        <w:rPr>
          <w:bCs/>
          <w:color w:val="000000"/>
          <w:lang w:val="vi-VN"/>
        </w:rPr>
        <w:t>3</w:t>
      </w:r>
      <w:r w:rsidRPr="00482B1C">
        <w:rPr>
          <w:bCs/>
          <w:color w:val="000000"/>
          <w:lang w:val="vi-VN"/>
        </w:rPr>
        <w:t>00 triệu đồng, cụ thể:</w:t>
      </w: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3101"/>
        <w:gridCol w:w="3102"/>
      </w:tblGrid>
      <w:tr w:rsidR="007017EC" w:rsidRPr="00482B1C" w14:paraId="0BC0B90D" w14:textId="77777777" w:rsidTr="007017EC">
        <w:trPr>
          <w:trHeight w:val="321"/>
        </w:trPr>
        <w:tc>
          <w:tcPr>
            <w:tcW w:w="2818" w:type="dxa"/>
            <w:vMerge w:val="restart"/>
            <w:vAlign w:val="center"/>
            <w:hideMark/>
          </w:tcPr>
          <w:p w14:paraId="0319000F" w14:textId="77777777" w:rsidR="007017EC" w:rsidRPr="00482B1C" w:rsidRDefault="007017EC" w:rsidP="007017EC">
            <w:pPr>
              <w:jc w:val="center"/>
              <w:rPr>
                <w:b/>
                <w:bCs/>
                <w:color w:val="000000"/>
                <w:lang w:val="vi-VN" w:eastAsia="vi-VN"/>
              </w:rPr>
            </w:pPr>
            <w:r w:rsidRPr="00482B1C">
              <w:rPr>
                <w:b/>
                <w:bCs/>
                <w:color w:val="000000"/>
                <w:lang w:eastAsia="vi-VN"/>
              </w:rPr>
              <w:t>Thời gian</w:t>
            </w:r>
          </w:p>
        </w:tc>
        <w:tc>
          <w:tcPr>
            <w:tcW w:w="6203" w:type="dxa"/>
            <w:gridSpan w:val="2"/>
            <w:vAlign w:val="center"/>
            <w:hideMark/>
          </w:tcPr>
          <w:p w14:paraId="7123F6D2" w14:textId="77777777" w:rsidR="007017EC" w:rsidRPr="00482B1C" w:rsidRDefault="007017EC" w:rsidP="007017EC">
            <w:pPr>
              <w:jc w:val="center"/>
              <w:rPr>
                <w:b/>
                <w:bCs/>
                <w:color w:val="000000"/>
                <w:lang w:val="vi-VN" w:eastAsia="vi-VN"/>
              </w:rPr>
            </w:pPr>
            <w:r w:rsidRPr="00482B1C">
              <w:rPr>
                <w:b/>
                <w:bCs/>
                <w:color w:val="000000"/>
                <w:lang w:eastAsia="vi-VN"/>
              </w:rPr>
              <w:t>Dự kiến kinh phí</w:t>
            </w:r>
          </w:p>
        </w:tc>
      </w:tr>
      <w:tr w:rsidR="007017EC" w:rsidRPr="00482B1C" w14:paraId="78B5FC00" w14:textId="77777777" w:rsidTr="007017EC">
        <w:trPr>
          <w:trHeight w:val="321"/>
        </w:trPr>
        <w:tc>
          <w:tcPr>
            <w:tcW w:w="2818" w:type="dxa"/>
            <w:vMerge/>
            <w:vAlign w:val="center"/>
            <w:hideMark/>
          </w:tcPr>
          <w:p w14:paraId="7B87DB58" w14:textId="77777777" w:rsidR="007017EC" w:rsidRPr="00482B1C" w:rsidRDefault="007017EC" w:rsidP="007017EC">
            <w:pPr>
              <w:rPr>
                <w:b/>
                <w:bCs/>
                <w:color w:val="000000"/>
                <w:lang w:val="vi-VN" w:eastAsia="vi-VN"/>
              </w:rPr>
            </w:pPr>
          </w:p>
        </w:tc>
        <w:tc>
          <w:tcPr>
            <w:tcW w:w="3101" w:type="dxa"/>
            <w:vAlign w:val="center"/>
            <w:hideMark/>
          </w:tcPr>
          <w:p w14:paraId="25F6C4F1" w14:textId="77777777" w:rsidR="007017EC" w:rsidRPr="00482B1C" w:rsidRDefault="007017EC" w:rsidP="007017EC">
            <w:pPr>
              <w:jc w:val="center"/>
              <w:rPr>
                <w:b/>
                <w:bCs/>
                <w:color w:val="000000"/>
                <w:lang w:val="vi-VN" w:eastAsia="vi-VN"/>
              </w:rPr>
            </w:pPr>
            <w:r w:rsidRPr="00482B1C">
              <w:rPr>
                <w:b/>
                <w:bCs/>
                <w:color w:val="000000"/>
                <w:lang w:eastAsia="vi-VN"/>
              </w:rPr>
              <w:t xml:space="preserve">05 người </w:t>
            </w:r>
            <w:r w:rsidRPr="00482B1C">
              <w:rPr>
                <w:i/>
                <w:iCs/>
                <w:color w:val="000000"/>
                <w:lang w:eastAsia="vi-VN"/>
              </w:rPr>
              <w:t>(triệu đồng)</w:t>
            </w:r>
          </w:p>
        </w:tc>
        <w:tc>
          <w:tcPr>
            <w:tcW w:w="3101" w:type="dxa"/>
            <w:vAlign w:val="center"/>
            <w:hideMark/>
          </w:tcPr>
          <w:p w14:paraId="06EE22B4" w14:textId="77777777" w:rsidR="007017EC" w:rsidRPr="00482B1C" w:rsidRDefault="007017EC" w:rsidP="007017EC">
            <w:pPr>
              <w:jc w:val="center"/>
              <w:rPr>
                <w:b/>
                <w:bCs/>
                <w:color w:val="000000"/>
                <w:lang w:val="vi-VN" w:eastAsia="vi-VN"/>
              </w:rPr>
            </w:pPr>
            <w:r w:rsidRPr="00482B1C">
              <w:rPr>
                <w:b/>
                <w:bCs/>
                <w:color w:val="000000"/>
                <w:lang w:eastAsia="vi-VN"/>
              </w:rPr>
              <w:t xml:space="preserve">10 người </w:t>
            </w:r>
            <w:r w:rsidRPr="00482B1C">
              <w:rPr>
                <w:i/>
                <w:iCs/>
                <w:color w:val="000000"/>
                <w:lang w:eastAsia="vi-VN"/>
              </w:rPr>
              <w:t>(triệu đồng)</w:t>
            </w:r>
          </w:p>
        </w:tc>
      </w:tr>
      <w:tr w:rsidR="007017EC" w:rsidRPr="00482B1C" w14:paraId="19DC407C" w14:textId="77777777" w:rsidTr="007017EC">
        <w:trPr>
          <w:trHeight w:val="321"/>
        </w:trPr>
        <w:tc>
          <w:tcPr>
            <w:tcW w:w="2818" w:type="dxa"/>
            <w:vAlign w:val="center"/>
            <w:hideMark/>
          </w:tcPr>
          <w:p w14:paraId="78917712" w14:textId="77777777" w:rsidR="007017EC" w:rsidRPr="00482B1C" w:rsidRDefault="007017EC" w:rsidP="007017EC">
            <w:pPr>
              <w:jc w:val="center"/>
              <w:rPr>
                <w:color w:val="000000"/>
                <w:lang w:val="vi-VN" w:eastAsia="vi-VN"/>
              </w:rPr>
            </w:pPr>
            <w:r w:rsidRPr="00482B1C">
              <w:rPr>
                <w:bCs/>
                <w:color w:val="000000"/>
                <w:lang w:eastAsia="vi-VN"/>
              </w:rPr>
              <w:t>2026</w:t>
            </w:r>
          </w:p>
        </w:tc>
        <w:tc>
          <w:tcPr>
            <w:tcW w:w="6203" w:type="dxa"/>
            <w:gridSpan w:val="2"/>
            <w:vAlign w:val="center"/>
            <w:hideMark/>
          </w:tcPr>
          <w:p w14:paraId="7F91DD1B" w14:textId="77777777" w:rsidR="007017EC" w:rsidRPr="00482B1C" w:rsidRDefault="007017EC" w:rsidP="007017EC">
            <w:pPr>
              <w:jc w:val="center"/>
              <w:rPr>
                <w:color w:val="000000"/>
                <w:lang w:val="vi-VN" w:eastAsia="vi-VN"/>
              </w:rPr>
            </w:pPr>
            <w:r w:rsidRPr="00482B1C">
              <w:rPr>
                <w:color w:val="000000"/>
                <w:lang w:eastAsia="vi-VN"/>
              </w:rPr>
              <w:t>300</w:t>
            </w:r>
          </w:p>
        </w:tc>
      </w:tr>
      <w:tr w:rsidR="007017EC" w:rsidRPr="00482B1C" w14:paraId="386FB83F" w14:textId="77777777" w:rsidTr="007017EC">
        <w:trPr>
          <w:trHeight w:val="321"/>
        </w:trPr>
        <w:tc>
          <w:tcPr>
            <w:tcW w:w="2818" w:type="dxa"/>
            <w:vAlign w:val="center"/>
            <w:hideMark/>
          </w:tcPr>
          <w:p w14:paraId="31A28946" w14:textId="77777777" w:rsidR="007017EC" w:rsidRPr="00482B1C" w:rsidRDefault="007017EC" w:rsidP="007017EC">
            <w:pPr>
              <w:jc w:val="center"/>
              <w:rPr>
                <w:color w:val="000000"/>
                <w:lang w:val="vi-VN" w:eastAsia="vi-VN"/>
              </w:rPr>
            </w:pPr>
            <w:r w:rsidRPr="00482B1C">
              <w:rPr>
                <w:bCs/>
                <w:color w:val="000000"/>
                <w:lang w:eastAsia="vi-VN"/>
              </w:rPr>
              <w:t>2027</w:t>
            </w:r>
          </w:p>
        </w:tc>
        <w:tc>
          <w:tcPr>
            <w:tcW w:w="3101" w:type="dxa"/>
            <w:vAlign w:val="center"/>
            <w:hideMark/>
          </w:tcPr>
          <w:p w14:paraId="43790D0F" w14:textId="77777777" w:rsidR="007017EC" w:rsidRPr="00482B1C" w:rsidRDefault="007017EC" w:rsidP="007017EC">
            <w:pPr>
              <w:jc w:val="center"/>
              <w:rPr>
                <w:color w:val="000000"/>
                <w:lang w:val="vi-VN" w:eastAsia="vi-VN"/>
              </w:rPr>
            </w:pPr>
            <w:r w:rsidRPr="00482B1C">
              <w:rPr>
                <w:color w:val="000000"/>
                <w:lang w:val="vi-VN" w:eastAsia="vi-VN"/>
              </w:rPr>
              <w:t>1.200</w:t>
            </w:r>
          </w:p>
        </w:tc>
        <w:tc>
          <w:tcPr>
            <w:tcW w:w="3101" w:type="dxa"/>
            <w:vAlign w:val="center"/>
            <w:hideMark/>
          </w:tcPr>
          <w:p w14:paraId="15F6CEFF" w14:textId="77777777" w:rsidR="007017EC" w:rsidRPr="00482B1C" w:rsidRDefault="007017EC" w:rsidP="007017EC">
            <w:pPr>
              <w:jc w:val="center"/>
              <w:rPr>
                <w:color w:val="000000"/>
                <w:lang w:val="vi-VN" w:eastAsia="vi-VN"/>
              </w:rPr>
            </w:pPr>
            <w:r w:rsidRPr="00482B1C">
              <w:rPr>
                <w:color w:val="000000"/>
                <w:lang w:val="vi-VN" w:eastAsia="vi-VN"/>
              </w:rPr>
              <w:t>1.800</w:t>
            </w:r>
          </w:p>
        </w:tc>
      </w:tr>
      <w:tr w:rsidR="007017EC" w:rsidRPr="00482B1C" w14:paraId="3C037BA1" w14:textId="77777777" w:rsidTr="007017EC">
        <w:trPr>
          <w:trHeight w:val="321"/>
        </w:trPr>
        <w:tc>
          <w:tcPr>
            <w:tcW w:w="2818" w:type="dxa"/>
            <w:vAlign w:val="center"/>
            <w:hideMark/>
          </w:tcPr>
          <w:p w14:paraId="30FC17CA" w14:textId="77777777" w:rsidR="007017EC" w:rsidRPr="00482B1C" w:rsidRDefault="007017EC" w:rsidP="007017EC">
            <w:pPr>
              <w:jc w:val="center"/>
              <w:rPr>
                <w:color w:val="000000"/>
                <w:lang w:val="vi-VN" w:eastAsia="vi-VN"/>
              </w:rPr>
            </w:pPr>
            <w:r w:rsidRPr="00482B1C">
              <w:rPr>
                <w:bCs/>
                <w:color w:val="000000"/>
                <w:lang w:eastAsia="vi-VN"/>
              </w:rPr>
              <w:t>2028</w:t>
            </w:r>
          </w:p>
        </w:tc>
        <w:tc>
          <w:tcPr>
            <w:tcW w:w="3101" w:type="dxa"/>
            <w:vAlign w:val="center"/>
            <w:hideMark/>
          </w:tcPr>
          <w:p w14:paraId="52295E1F" w14:textId="77777777" w:rsidR="007017EC" w:rsidRPr="00482B1C" w:rsidRDefault="007017EC" w:rsidP="007017EC">
            <w:pPr>
              <w:jc w:val="center"/>
              <w:rPr>
                <w:color w:val="000000"/>
                <w:lang w:val="vi-VN" w:eastAsia="vi-VN"/>
              </w:rPr>
            </w:pPr>
            <w:r w:rsidRPr="00482B1C">
              <w:rPr>
                <w:color w:val="000000"/>
                <w:lang w:val="vi-VN" w:eastAsia="vi-VN"/>
              </w:rPr>
              <w:t>1.800</w:t>
            </w:r>
          </w:p>
        </w:tc>
        <w:tc>
          <w:tcPr>
            <w:tcW w:w="3101" w:type="dxa"/>
            <w:vAlign w:val="center"/>
            <w:hideMark/>
          </w:tcPr>
          <w:p w14:paraId="180CBEE1" w14:textId="77777777" w:rsidR="007017EC" w:rsidRPr="00482B1C" w:rsidRDefault="007017EC" w:rsidP="007017EC">
            <w:pPr>
              <w:jc w:val="center"/>
              <w:rPr>
                <w:color w:val="000000"/>
                <w:lang w:val="vi-VN" w:eastAsia="vi-VN"/>
              </w:rPr>
            </w:pPr>
            <w:r w:rsidRPr="00482B1C">
              <w:rPr>
                <w:color w:val="000000"/>
                <w:lang w:val="vi-VN" w:eastAsia="vi-VN"/>
              </w:rPr>
              <w:t>3.000</w:t>
            </w:r>
          </w:p>
        </w:tc>
      </w:tr>
      <w:tr w:rsidR="007017EC" w:rsidRPr="00482B1C" w14:paraId="0565CDE5" w14:textId="77777777" w:rsidTr="007017EC">
        <w:trPr>
          <w:trHeight w:val="321"/>
        </w:trPr>
        <w:tc>
          <w:tcPr>
            <w:tcW w:w="2818" w:type="dxa"/>
            <w:vAlign w:val="center"/>
            <w:hideMark/>
          </w:tcPr>
          <w:p w14:paraId="6CAAAAAC" w14:textId="77777777" w:rsidR="007017EC" w:rsidRPr="00482B1C" w:rsidRDefault="007017EC" w:rsidP="007017EC">
            <w:pPr>
              <w:jc w:val="center"/>
              <w:rPr>
                <w:color w:val="000000"/>
                <w:lang w:val="vi-VN" w:eastAsia="vi-VN"/>
              </w:rPr>
            </w:pPr>
            <w:r w:rsidRPr="00482B1C">
              <w:rPr>
                <w:bCs/>
                <w:color w:val="000000"/>
                <w:lang w:eastAsia="vi-VN"/>
              </w:rPr>
              <w:t>2029</w:t>
            </w:r>
          </w:p>
        </w:tc>
        <w:tc>
          <w:tcPr>
            <w:tcW w:w="3101" w:type="dxa"/>
            <w:vAlign w:val="center"/>
            <w:hideMark/>
          </w:tcPr>
          <w:p w14:paraId="6A628ADB" w14:textId="77777777" w:rsidR="007017EC" w:rsidRPr="00482B1C" w:rsidRDefault="007017EC" w:rsidP="007017EC">
            <w:pPr>
              <w:jc w:val="center"/>
              <w:rPr>
                <w:color w:val="000000"/>
                <w:lang w:val="vi-VN" w:eastAsia="vi-VN"/>
              </w:rPr>
            </w:pPr>
            <w:r w:rsidRPr="00482B1C">
              <w:rPr>
                <w:color w:val="000000"/>
                <w:lang w:val="vi-VN" w:eastAsia="vi-VN"/>
              </w:rPr>
              <w:t>2.400</w:t>
            </w:r>
          </w:p>
        </w:tc>
        <w:tc>
          <w:tcPr>
            <w:tcW w:w="3101" w:type="dxa"/>
            <w:vAlign w:val="center"/>
            <w:hideMark/>
          </w:tcPr>
          <w:p w14:paraId="6175F5DB" w14:textId="77777777" w:rsidR="007017EC" w:rsidRPr="00482B1C" w:rsidRDefault="007017EC" w:rsidP="007017EC">
            <w:pPr>
              <w:jc w:val="center"/>
              <w:rPr>
                <w:color w:val="000000"/>
                <w:lang w:val="vi-VN" w:eastAsia="vi-VN"/>
              </w:rPr>
            </w:pPr>
            <w:r w:rsidRPr="00482B1C">
              <w:rPr>
                <w:color w:val="000000"/>
                <w:lang w:val="vi-VN" w:eastAsia="vi-VN"/>
              </w:rPr>
              <w:t>4.200</w:t>
            </w:r>
          </w:p>
        </w:tc>
      </w:tr>
      <w:tr w:rsidR="007017EC" w:rsidRPr="00482B1C" w14:paraId="534B25E9" w14:textId="77777777" w:rsidTr="007017EC">
        <w:trPr>
          <w:trHeight w:val="321"/>
        </w:trPr>
        <w:tc>
          <w:tcPr>
            <w:tcW w:w="2818" w:type="dxa"/>
            <w:vAlign w:val="center"/>
            <w:hideMark/>
          </w:tcPr>
          <w:p w14:paraId="2D987CEB" w14:textId="77777777" w:rsidR="007017EC" w:rsidRPr="00482B1C" w:rsidRDefault="007017EC" w:rsidP="007017EC">
            <w:pPr>
              <w:jc w:val="center"/>
              <w:rPr>
                <w:color w:val="000000"/>
                <w:lang w:val="vi-VN" w:eastAsia="vi-VN"/>
              </w:rPr>
            </w:pPr>
            <w:r w:rsidRPr="00482B1C">
              <w:rPr>
                <w:bCs/>
                <w:color w:val="000000"/>
                <w:lang w:eastAsia="vi-VN"/>
              </w:rPr>
              <w:t>2030</w:t>
            </w:r>
          </w:p>
        </w:tc>
        <w:tc>
          <w:tcPr>
            <w:tcW w:w="3101" w:type="dxa"/>
            <w:vAlign w:val="center"/>
            <w:hideMark/>
          </w:tcPr>
          <w:p w14:paraId="4DFD1C16" w14:textId="77777777" w:rsidR="007017EC" w:rsidRPr="00482B1C" w:rsidRDefault="007017EC" w:rsidP="007017EC">
            <w:pPr>
              <w:jc w:val="center"/>
              <w:rPr>
                <w:color w:val="000000"/>
                <w:lang w:val="vi-VN" w:eastAsia="vi-VN"/>
              </w:rPr>
            </w:pPr>
            <w:r w:rsidRPr="00482B1C">
              <w:rPr>
                <w:color w:val="000000"/>
                <w:lang w:val="vi-VN" w:eastAsia="vi-VN"/>
              </w:rPr>
              <w:t>3.000</w:t>
            </w:r>
          </w:p>
        </w:tc>
        <w:tc>
          <w:tcPr>
            <w:tcW w:w="3101" w:type="dxa"/>
            <w:vAlign w:val="center"/>
            <w:hideMark/>
          </w:tcPr>
          <w:p w14:paraId="022B543C" w14:textId="77777777" w:rsidR="007017EC" w:rsidRPr="00482B1C" w:rsidRDefault="007017EC" w:rsidP="007017EC">
            <w:pPr>
              <w:jc w:val="center"/>
              <w:rPr>
                <w:color w:val="000000"/>
                <w:lang w:val="vi-VN" w:eastAsia="vi-VN"/>
              </w:rPr>
            </w:pPr>
            <w:r w:rsidRPr="00482B1C">
              <w:rPr>
                <w:color w:val="000000"/>
                <w:lang w:val="vi-VN" w:eastAsia="vi-VN"/>
              </w:rPr>
              <w:t>5.400</w:t>
            </w:r>
          </w:p>
        </w:tc>
      </w:tr>
      <w:tr w:rsidR="007017EC" w:rsidRPr="00482B1C" w14:paraId="2E8E7CA3" w14:textId="77777777" w:rsidTr="007017EC">
        <w:trPr>
          <w:trHeight w:val="321"/>
        </w:trPr>
        <w:tc>
          <w:tcPr>
            <w:tcW w:w="2818" w:type="dxa"/>
            <w:vAlign w:val="center"/>
            <w:hideMark/>
          </w:tcPr>
          <w:p w14:paraId="04FA4A9F" w14:textId="77777777" w:rsidR="007017EC" w:rsidRPr="00482B1C" w:rsidRDefault="007017EC" w:rsidP="007017EC">
            <w:pPr>
              <w:jc w:val="center"/>
              <w:rPr>
                <w:color w:val="000000"/>
                <w:lang w:val="vi-VN" w:eastAsia="vi-VN"/>
              </w:rPr>
            </w:pPr>
            <w:r w:rsidRPr="00482B1C">
              <w:rPr>
                <w:bCs/>
                <w:color w:val="000000"/>
                <w:lang w:eastAsia="vi-VN"/>
              </w:rPr>
              <w:t>2031</w:t>
            </w:r>
          </w:p>
        </w:tc>
        <w:tc>
          <w:tcPr>
            <w:tcW w:w="3101" w:type="dxa"/>
            <w:vAlign w:val="center"/>
            <w:hideMark/>
          </w:tcPr>
          <w:p w14:paraId="110D5A41" w14:textId="77777777" w:rsidR="007017EC" w:rsidRPr="00482B1C" w:rsidRDefault="007017EC" w:rsidP="007017EC">
            <w:pPr>
              <w:jc w:val="center"/>
              <w:rPr>
                <w:color w:val="000000"/>
                <w:lang w:val="vi-VN" w:eastAsia="vi-VN"/>
              </w:rPr>
            </w:pPr>
            <w:r w:rsidRPr="00482B1C">
              <w:rPr>
                <w:color w:val="000000"/>
                <w:lang w:val="vi-VN" w:eastAsia="vi-VN"/>
              </w:rPr>
              <w:t>3.600</w:t>
            </w:r>
          </w:p>
        </w:tc>
        <w:tc>
          <w:tcPr>
            <w:tcW w:w="3101" w:type="dxa"/>
            <w:vAlign w:val="center"/>
            <w:hideMark/>
          </w:tcPr>
          <w:p w14:paraId="484C34B2" w14:textId="77777777" w:rsidR="007017EC" w:rsidRPr="00482B1C" w:rsidRDefault="007017EC" w:rsidP="007017EC">
            <w:pPr>
              <w:jc w:val="center"/>
              <w:rPr>
                <w:color w:val="000000"/>
                <w:lang w:val="vi-VN" w:eastAsia="vi-VN"/>
              </w:rPr>
            </w:pPr>
            <w:r w:rsidRPr="00482B1C">
              <w:rPr>
                <w:color w:val="000000"/>
                <w:lang w:val="vi-VN" w:eastAsia="vi-VN"/>
              </w:rPr>
              <w:t>6.600</w:t>
            </w:r>
          </w:p>
        </w:tc>
      </w:tr>
      <w:tr w:rsidR="007017EC" w:rsidRPr="00482B1C" w14:paraId="5C1EC04F" w14:textId="77777777" w:rsidTr="007017EC">
        <w:trPr>
          <w:trHeight w:val="321"/>
        </w:trPr>
        <w:tc>
          <w:tcPr>
            <w:tcW w:w="2818" w:type="dxa"/>
            <w:vAlign w:val="center"/>
            <w:hideMark/>
          </w:tcPr>
          <w:p w14:paraId="2B50493D" w14:textId="77777777" w:rsidR="007017EC" w:rsidRPr="00482B1C" w:rsidRDefault="007017EC" w:rsidP="007017EC">
            <w:pPr>
              <w:jc w:val="center"/>
              <w:rPr>
                <w:b/>
                <w:bCs/>
                <w:color w:val="000000"/>
                <w:lang w:val="vi-VN" w:eastAsia="vi-VN"/>
              </w:rPr>
            </w:pPr>
            <w:r w:rsidRPr="00482B1C">
              <w:rPr>
                <w:b/>
                <w:bCs/>
                <w:color w:val="000000"/>
                <w:lang w:eastAsia="vi-VN"/>
              </w:rPr>
              <w:t>2026 - 2031</w:t>
            </w:r>
          </w:p>
        </w:tc>
        <w:tc>
          <w:tcPr>
            <w:tcW w:w="3101" w:type="dxa"/>
            <w:vAlign w:val="center"/>
            <w:hideMark/>
          </w:tcPr>
          <w:p w14:paraId="421682B3" w14:textId="77777777" w:rsidR="007017EC" w:rsidRPr="00482B1C" w:rsidRDefault="007017EC" w:rsidP="007017EC">
            <w:pPr>
              <w:jc w:val="center"/>
              <w:rPr>
                <w:b/>
                <w:bCs/>
                <w:color w:val="000000"/>
                <w:lang w:val="vi-VN" w:eastAsia="vi-VN"/>
              </w:rPr>
            </w:pPr>
            <w:r w:rsidRPr="00482B1C">
              <w:rPr>
                <w:b/>
                <w:bCs/>
                <w:color w:val="000000"/>
                <w:lang w:eastAsia="vi-VN"/>
              </w:rPr>
              <w:t>12.300</w:t>
            </w:r>
          </w:p>
        </w:tc>
        <w:tc>
          <w:tcPr>
            <w:tcW w:w="3101" w:type="dxa"/>
            <w:vAlign w:val="center"/>
            <w:hideMark/>
          </w:tcPr>
          <w:p w14:paraId="74A0E930" w14:textId="77777777" w:rsidR="007017EC" w:rsidRPr="00482B1C" w:rsidRDefault="007017EC" w:rsidP="007017EC">
            <w:pPr>
              <w:jc w:val="center"/>
              <w:rPr>
                <w:b/>
                <w:bCs/>
                <w:color w:val="000000"/>
                <w:lang w:val="vi-VN" w:eastAsia="vi-VN"/>
              </w:rPr>
            </w:pPr>
            <w:r w:rsidRPr="00482B1C">
              <w:rPr>
                <w:b/>
                <w:bCs/>
                <w:color w:val="000000"/>
                <w:lang w:eastAsia="vi-VN"/>
              </w:rPr>
              <w:t>21.300</w:t>
            </w:r>
          </w:p>
        </w:tc>
      </w:tr>
    </w:tbl>
    <w:p w14:paraId="0A598CCC" w14:textId="7BE8D695" w:rsidR="00435A84" w:rsidRPr="00482B1C" w:rsidRDefault="00435A84" w:rsidP="00435A84">
      <w:pPr>
        <w:widowControl w:val="0"/>
        <w:spacing w:before="120" w:after="120" w:line="276" w:lineRule="auto"/>
        <w:ind w:firstLine="426"/>
        <w:jc w:val="both"/>
        <w:rPr>
          <w:bCs/>
          <w:i/>
          <w:iCs/>
          <w:color w:val="000000"/>
          <w:lang w:val="vi-VN"/>
        </w:rPr>
      </w:pPr>
      <w:r w:rsidRPr="00482B1C">
        <w:rPr>
          <w:bCs/>
          <w:i/>
          <w:iCs/>
          <w:color w:val="000000"/>
          <w:lang w:val="vi-VN"/>
        </w:rPr>
        <w:t>Kinh phí chi trả dự kiến mỗi trường hợp ở mức tối đa 10 triệu đồng/ tháng và kinh phí dự kiến của năm sau liền kề đã bao gồm kinh phí chi trả cho đối tượng đã thu hút ở năm trước liền kề.</w:t>
      </w:r>
    </w:p>
    <w:p w14:paraId="3CDF0384" w14:textId="73FD77F6" w:rsidR="00494ABA" w:rsidRPr="00482B1C" w:rsidRDefault="00494ABA" w:rsidP="00494ABA">
      <w:pPr>
        <w:widowControl w:val="0"/>
        <w:spacing w:before="120" w:after="120" w:line="276" w:lineRule="auto"/>
        <w:ind w:firstLine="400"/>
        <w:jc w:val="both"/>
        <w:rPr>
          <w:bCs/>
          <w:color w:val="000000"/>
          <w:lang w:val="vi-VN"/>
        </w:rPr>
      </w:pPr>
      <w:r w:rsidRPr="00482B1C">
        <w:rPr>
          <w:bCs/>
          <w:i/>
          <w:iCs/>
          <w:color w:val="000000"/>
          <w:lang w:val="vi-VN"/>
        </w:rPr>
        <w:t>+ Dự kiến kinh phí bố trí để chi trả chính sách tiền lương chuyên gia 2026 - 2031:</w:t>
      </w:r>
      <w:r w:rsidRPr="00482B1C">
        <w:rPr>
          <w:bCs/>
          <w:color w:val="000000"/>
          <w:lang w:val="vi-VN"/>
        </w:rPr>
        <w:t xml:space="preserve"> Dự kiến khoảng từ </w:t>
      </w:r>
      <w:r w:rsidR="007B4796" w:rsidRPr="00482B1C">
        <w:rPr>
          <w:bCs/>
          <w:color w:val="000000"/>
          <w:lang w:val="vi-VN"/>
        </w:rPr>
        <w:t>36</w:t>
      </w:r>
      <w:r w:rsidRPr="00482B1C">
        <w:rPr>
          <w:bCs/>
          <w:color w:val="000000"/>
          <w:lang w:val="vi-VN"/>
        </w:rPr>
        <w:t>.</w:t>
      </w:r>
      <w:r w:rsidR="007B4796" w:rsidRPr="00482B1C">
        <w:rPr>
          <w:bCs/>
          <w:color w:val="000000"/>
          <w:lang w:val="vi-VN"/>
        </w:rPr>
        <w:t>9</w:t>
      </w:r>
      <w:r w:rsidRPr="00482B1C">
        <w:rPr>
          <w:bCs/>
          <w:color w:val="000000"/>
          <w:lang w:val="vi-VN"/>
        </w:rPr>
        <w:t xml:space="preserve">00 triệu đồng đến </w:t>
      </w:r>
      <w:r w:rsidR="007B4796" w:rsidRPr="00482B1C">
        <w:rPr>
          <w:bCs/>
          <w:color w:val="000000"/>
          <w:lang w:val="vi-VN"/>
        </w:rPr>
        <w:t>63</w:t>
      </w:r>
      <w:r w:rsidRPr="00482B1C">
        <w:rPr>
          <w:bCs/>
          <w:color w:val="000000"/>
          <w:lang w:val="vi-VN"/>
        </w:rPr>
        <w:t>.</w:t>
      </w:r>
      <w:r w:rsidR="007B4796" w:rsidRPr="00482B1C">
        <w:rPr>
          <w:bCs/>
          <w:color w:val="000000"/>
          <w:lang w:val="vi-VN"/>
        </w:rPr>
        <w:t>9</w:t>
      </w:r>
      <w:r w:rsidRPr="00482B1C">
        <w:rPr>
          <w:bCs/>
          <w:color w:val="000000"/>
          <w:lang w:val="vi-VN"/>
        </w:rPr>
        <w:t>00 triệu đồng, cụ thể:</w:t>
      </w: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2840"/>
        <w:gridCol w:w="2840"/>
      </w:tblGrid>
      <w:tr w:rsidR="00785188" w:rsidRPr="00482B1C" w14:paraId="2517087A" w14:textId="77777777" w:rsidTr="00785188">
        <w:trPr>
          <w:trHeight w:val="324"/>
        </w:trPr>
        <w:tc>
          <w:tcPr>
            <w:tcW w:w="2580" w:type="dxa"/>
            <w:vMerge w:val="restart"/>
            <w:vAlign w:val="center"/>
            <w:hideMark/>
          </w:tcPr>
          <w:p w14:paraId="0A3B3B2E" w14:textId="77777777" w:rsidR="00785188" w:rsidRPr="00482B1C" w:rsidRDefault="00785188" w:rsidP="00785188">
            <w:pPr>
              <w:jc w:val="center"/>
              <w:rPr>
                <w:b/>
                <w:bCs/>
                <w:color w:val="000000"/>
                <w:lang w:val="vi-VN" w:eastAsia="vi-VN"/>
              </w:rPr>
            </w:pPr>
            <w:r w:rsidRPr="00482B1C">
              <w:rPr>
                <w:b/>
                <w:bCs/>
                <w:color w:val="000000"/>
                <w:lang w:eastAsia="vi-VN"/>
              </w:rPr>
              <w:t>Thời gian</w:t>
            </w:r>
          </w:p>
        </w:tc>
        <w:tc>
          <w:tcPr>
            <w:tcW w:w="5680" w:type="dxa"/>
            <w:gridSpan w:val="2"/>
            <w:vAlign w:val="center"/>
            <w:hideMark/>
          </w:tcPr>
          <w:p w14:paraId="1D5A1CFE" w14:textId="77777777" w:rsidR="00785188" w:rsidRPr="00482B1C" w:rsidRDefault="00785188" w:rsidP="00785188">
            <w:pPr>
              <w:jc w:val="center"/>
              <w:rPr>
                <w:b/>
                <w:bCs/>
                <w:color w:val="000000"/>
                <w:lang w:val="vi-VN" w:eastAsia="vi-VN"/>
              </w:rPr>
            </w:pPr>
            <w:r w:rsidRPr="00482B1C">
              <w:rPr>
                <w:b/>
                <w:bCs/>
                <w:color w:val="000000"/>
                <w:lang w:eastAsia="vi-VN"/>
              </w:rPr>
              <w:t>Dự kiến kinh phí</w:t>
            </w:r>
          </w:p>
        </w:tc>
      </w:tr>
      <w:tr w:rsidR="00785188" w:rsidRPr="00482B1C" w14:paraId="05DCCA17" w14:textId="77777777" w:rsidTr="00785188">
        <w:trPr>
          <w:trHeight w:val="324"/>
        </w:trPr>
        <w:tc>
          <w:tcPr>
            <w:tcW w:w="2580" w:type="dxa"/>
            <w:vMerge/>
            <w:vAlign w:val="center"/>
            <w:hideMark/>
          </w:tcPr>
          <w:p w14:paraId="7FACFFBE" w14:textId="77777777" w:rsidR="00785188" w:rsidRPr="00482B1C" w:rsidRDefault="00785188" w:rsidP="00785188">
            <w:pPr>
              <w:rPr>
                <w:b/>
                <w:bCs/>
                <w:color w:val="000000"/>
                <w:lang w:val="vi-VN" w:eastAsia="vi-VN"/>
              </w:rPr>
            </w:pPr>
          </w:p>
        </w:tc>
        <w:tc>
          <w:tcPr>
            <w:tcW w:w="2840" w:type="dxa"/>
            <w:vAlign w:val="center"/>
            <w:hideMark/>
          </w:tcPr>
          <w:p w14:paraId="2ADC0A8B" w14:textId="77777777" w:rsidR="00785188" w:rsidRPr="00482B1C" w:rsidRDefault="00785188" w:rsidP="00785188">
            <w:pPr>
              <w:jc w:val="center"/>
              <w:rPr>
                <w:b/>
                <w:bCs/>
                <w:color w:val="000000"/>
                <w:lang w:val="vi-VN" w:eastAsia="vi-VN"/>
              </w:rPr>
            </w:pPr>
            <w:r w:rsidRPr="00482B1C">
              <w:rPr>
                <w:b/>
                <w:bCs/>
                <w:color w:val="000000"/>
                <w:lang w:eastAsia="vi-VN"/>
              </w:rPr>
              <w:t xml:space="preserve">05 người </w:t>
            </w:r>
            <w:r w:rsidRPr="00482B1C">
              <w:rPr>
                <w:i/>
                <w:iCs/>
                <w:color w:val="000000"/>
                <w:lang w:eastAsia="vi-VN"/>
              </w:rPr>
              <w:t>(triệu đồng)</w:t>
            </w:r>
          </w:p>
        </w:tc>
        <w:tc>
          <w:tcPr>
            <w:tcW w:w="2840" w:type="dxa"/>
            <w:vAlign w:val="center"/>
            <w:hideMark/>
          </w:tcPr>
          <w:p w14:paraId="568D4D56" w14:textId="77777777" w:rsidR="00785188" w:rsidRPr="00482B1C" w:rsidRDefault="00785188" w:rsidP="00785188">
            <w:pPr>
              <w:jc w:val="center"/>
              <w:rPr>
                <w:b/>
                <w:bCs/>
                <w:color w:val="000000"/>
                <w:lang w:val="vi-VN" w:eastAsia="vi-VN"/>
              </w:rPr>
            </w:pPr>
            <w:r w:rsidRPr="00482B1C">
              <w:rPr>
                <w:b/>
                <w:bCs/>
                <w:color w:val="000000"/>
                <w:lang w:eastAsia="vi-VN"/>
              </w:rPr>
              <w:t xml:space="preserve">10 người </w:t>
            </w:r>
            <w:r w:rsidRPr="00482B1C">
              <w:rPr>
                <w:i/>
                <w:iCs/>
                <w:color w:val="000000"/>
                <w:lang w:eastAsia="vi-VN"/>
              </w:rPr>
              <w:t>(triệu đồng)</w:t>
            </w:r>
          </w:p>
        </w:tc>
      </w:tr>
      <w:tr w:rsidR="00785188" w:rsidRPr="00482B1C" w14:paraId="61A3D826" w14:textId="77777777" w:rsidTr="00785188">
        <w:trPr>
          <w:trHeight w:val="324"/>
        </w:trPr>
        <w:tc>
          <w:tcPr>
            <w:tcW w:w="2580" w:type="dxa"/>
            <w:vAlign w:val="center"/>
            <w:hideMark/>
          </w:tcPr>
          <w:p w14:paraId="024192C6" w14:textId="77777777" w:rsidR="00785188" w:rsidRPr="00482B1C" w:rsidRDefault="00785188" w:rsidP="00785188">
            <w:pPr>
              <w:jc w:val="center"/>
              <w:rPr>
                <w:color w:val="000000"/>
                <w:lang w:val="vi-VN" w:eastAsia="vi-VN"/>
              </w:rPr>
            </w:pPr>
            <w:r w:rsidRPr="00482B1C">
              <w:rPr>
                <w:bCs/>
                <w:color w:val="000000"/>
                <w:lang w:eastAsia="vi-VN"/>
              </w:rPr>
              <w:t>2026</w:t>
            </w:r>
          </w:p>
        </w:tc>
        <w:tc>
          <w:tcPr>
            <w:tcW w:w="5680" w:type="dxa"/>
            <w:gridSpan w:val="2"/>
            <w:vAlign w:val="center"/>
            <w:hideMark/>
          </w:tcPr>
          <w:p w14:paraId="28A8752C" w14:textId="77777777" w:rsidR="00785188" w:rsidRPr="00482B1C" w:rsidRDefault="00785188" w:rsidP="00785188">
            <w:pPr>
              <w:jc w:val="center"/>
              <w:rPr>
                <w:color w:val="000000"/>
                <w:lang w:val="vi-VN" w:eastAsia="vi-VN"/>
              </w:rPr>
            </w:pPr>
            <w:r w:rsidRPr="00482B1C">
              <w:rPr>
                <w:color w:val="000000"/>
                <w:lang w:eastAsia="vi-VN"/>
              </w:rPr>
              <w:t>900</w:t>
            </w:r>
          </w:p>
        </w:tc>
      </w:tr>
      <w:tr w:rsidR="00785188" w:rsidRPr="00482B1C" w14:paraId="169920ED" w14:textId="77777777" w:rsidTr="00785188">
        <w:trPr>
          <w:trHeight w:val="324"/>
        </w:trPr>
        <w:tc>
          <w:tcPr>
            <w:tcW w:w="2580" w:type="dxa"/>
            <w:vAlign w:val="center"/>
            <w:hideMark/>
          </w:tcPr>
          <w:p w14:paraId="65A81F5D" w14:textId="77777777" w:rsidR="00785188" w:rsidRPr="00482B1C" w:rsidRDefault="00785188" w:rsidP="00785188">
            <w:pPr>
              <w:jc w:val="center"/>
              <w:rPr>
                <w:color w:val="000000"/>
                <w:lang w:val="vi-VN" w:eastAsia="vi-VN"/>
              </w:rPr>
            </w:pPr>
            <w:r w:rsidRPr="00482B1C">
              <w:rPr>
                <w:bCs/>
                <w:color w:val="000000"/>
                <w:lang w:eastAsia="vi-VN"/>
              </w:rPr>
              <w:t>2027</w:t>
            </w:r>
          </w:p>
        </w:tc>
        <w:tc>
          <w:tcPr>
            <w:tcW w:w="2840" w:type="dxa"/>
            <w:vAlign w:val="center"/>
            <w:hideMark/>
          </w:tcPr>
          <w:p w14:paraId="7DC832C2" w14:textId="77777777" w:rsidR="00785188" w:rsidRPr="00482B1C" w:rsidRDefault="00785188" w:rsidP="00785188">
            <w:pPr>
              <w:jc w:val="center"/>
              <w:rPr>
                <w:color w:val="000000"/>
                <w:lang w:val="vi-VN" w:eastAsia="vi-VN"/>
              </w:rPr>
            </w:pPr>
            <w:r w:rsidRPr="00482B1C">
              <w:rPr>
                <w:color w:val="000000"/>
                <w:lang w:val="vi-VN" w:eastAsia="vi-VN"/>
              </w:rPr>
              <w:t>3.600</w:t>
            </w:r>
          </w:p>
        </w:tc>
        <w:tc>
          <w:tcPr>
            <w:tcW w:w="2840" w:type="dxa"/>
            <w:vAlign w:val="center"/>
            <w:hideMark/>
          </w:tcPr>
          <w:p w14:paraId="045045F9" w14:textId="77777777" w:rsidR="00785188" w:rsidRPr="00482B1C" w:rsidRDefault="00785188" w:rsidP="00785188">
            <w:pPr>
              <w:jc w:val="center"/>
              <w:rPr>
                <w:color w:val="000000"/>
                <w:lang w:val="vi-VN" w:eastAsia="vi-VN"/>
              </w:rPr>
            </w:pPr>
            <w:r w:rsidRPr="00482B1C">
              <w:rPr>
                <w:color w:val="000000"/>
                <w:lang w:val="vi-VN" w:eastAsia="vi-VN"/>
              </w:rPr>
              <w:t>5.400</w:t>
            </w:r>
          </w:p>
        </w:tc>
      </w:tr>
      <w:tr w:rsidR="00785188" w:rsidRPr="00482B1C" w14:paraId="4CA129DC" w14:textId="77777777" w:rsidTr="00785188">
        <w:trPr>
          <w:trHeight w:val="324"/>
        </w:trPr>
        <w:tc>
          <w:tcPr>
            <w:tcW w:w="2580" w:type="dxa"/>
            <w:vAlign w:val="center"/>
            <w:hideMark/>
          </w:tcPr>
          <w:p w14:paraId="0B90D1CF" w14:textId="77777777" w:rsidR="00785188" w:rsidRPr="00482B1C" w:rsidRDefault="00785188" w:rsidP="00785188">
            <w:pPr>
              <w:jc w:val="center"/>
              <w:rPr>
                <w:color w:val="000000"/>
                <w:lang w:val="vi-VN" w:eastAsia="vi-VN"/>
              </w:rPr>
            </w:pPr>
            <w:r w:rsidRPr="00482B1C">
              <w:rPr>
                <w:bCs/>
                <w:color w:val="000000"/>
                <w:lang w:eastAsia="vi-VN"/>
              </w:rPr>
              <w:t>2028</w:t>
            </w:r>
          </w:p>
        </w:tc>
        <w:tc>
          <w:tcPr>
            <w:tcW w:w="2840" w:type="dxa"/>
            <w:vAlign w:val="center"/>
            <w:hideMark/>
          </w:tcPr>
          <w:p w14:paraId="4DCD9E08" w14:textId="77777777" w:rsidR="00785188" w:rsidRPr="00482B1C" w:rsidRDefault="00785188" w:rsidP="00785188">
            <w:pPr>
              <w:jc w:val="center"/>
              <w:rPr>
                <w:color w:val="000000"/>
                <w:lang w:val="vi-VN" w:eastAsia="vi-VN"/>
              </w:rPr>
            </w:pPr>
            <w:r w:rsidRPr="00482B1C">
              <w:rPr>
                <w:color w:val="000000"/>
                <w:lang w:val="vi-VN" w:eastAsia="vi-VN"/>
              </w:rPr>
              <w:t>5.400</w:t>
            </w:r>
          </w:p>
        </w:tc>
        <w:tc>
          <w:tcPr>
            <w:tcW w:w="2840" w:type="dxa"/>
            <w:vAlign w:val="center"/>
            <w:hideMark/>
          </w:tcPr>
          <w:p w14:paraId="64347CB5" w14:textId="77777777" w:rsidR="00785188" w:rsidRPr="00482B1C" w:rsidRDefault="00785188" w:rsidP="00785188">
            <w:pPr>
              <w:jc w:val="center"/>
              <w:rPr>
                <w:color w:val="000000"/>
                <w:lang w:val="vi-VN" w:eastAsia="vi-VN"/>
              </w:rPr>
            </w:pPr>
            <w:r w:rsidRPr="00482B1C">
              <w:rPr>
                <w:color w:val="000000"/>
                <w:lang w:val="vi-VN" w:eastAsia="vi-VN"/>
              </w:rPr>
              <w:t>9.000</w:t>
            </w:r>
          </w:p>
        </w:tc>
      </w:tr>
      <w:tr w:rsidR="00785188" w:rsidRPr="00482B1C" w14:paraId="40213663" w14:textId="77777777" w:rsidTr="00785188">
        <w:trPr>
          <w:trHeight w:val="324"/>
        </w:trPr>
        <w:tc>
          <w:tcPr>
            <w:tcW w:w="2580" w:type="dxa"/>
            <w:vAlign w:val="center"/>
            <w:hideMark/>
          </w:tcPr>
          <w:p w14:paraId="5DCFAB4C" w14:textId="77777777" w:rsidR="00785188" w:rsidRPr="00482B1C" w:rsidRDefault="00785188" w:rsidP="00785188">
            <w:pPr>
              <w:jc w:val="center"/>
              <w:rPr>
                <w:color w:val="000000"/>
                <w:lang w:val="vi-VN" w:eastAsia="vi-VN"/>
              </w:rPr>
            </w:pPr>
            <w:r w:rsidRPr="00482B1C">
              <w:rPr>
                <w:bCs/>
                <w:color w:val="000000"/>
                <w:lang w:eastAsia="vi-VN"/>
              </w:rPr>
              <w:t>2029</w:t>
            </w:r>
          </w:p>
        </w:tc>
        <w:tc>
          <w:tcPr>
            <w:tcW w:w="2840" w:type="dxa"/>
            <w:vAlign w:val="center"/>
            <w:hideMark/>
          </w:tcPr>
          <w:p w14:paraId="02EB5C4D" w14:textId="77777777" w:rsidR="00785188" w:rsidRPr="00482B1C" w:rsidRDefault="00785188" w:rsidP="00785188">
            <w:pPr>
              <w:jc w:val="center"/>
              <w:rPr>
                <w:color w:val="000000"/>
                <w:lang w:val="vi-VN" w:eastAsia="vi-VN"/>
              </w:rPr>
            </w:pPr>
            <w:r w:rsidRPr="00482B1C">
              <w:rPr>
                <w:color w:val="000000"/>
                <w:lang w:val="vi-VN" w:eastAsia="vi-VN"/>
              </w:rPr>
              <w:t>7.200</w:t>
            </w:r>
          </w:p>
        </w:tc>
        <w:tc>
          <w:tcPr>
            <w:tcW w:w="2840" w:type="dxa"/>
            <w:vAlign w:val="center"/>
            <w:hideMark/>
          </w:tcPr>
          <w:p w14:paraId="1A40B9B6" w14:textId="77777777" w:rsidR="00785188" w:rsidRPr="00482B1C" w:rsidRDefault="00785188" w:rsidP="00785188">
            <w:pPr>
              <w:jc w:val="center"/>
              <w:rPr>
                <w:color w:val="000000"/>
                <w:lang w:val="vi-VN" w:eastAsia="vi-VN"/>
              </w:rPr>
            </w:pPr>
            <w:r w:rsidRPr="00482B1C">
              <w:rPr>
                <w:color w:val="000000"/>
                <w:lang w:val="vi-VN" w:eastAsia="vi-VN"/>
              </w:rPr>
              <w:t>12.600</w:t>
            </w:r>
          </w:p>
        </w:tc>
      </w:tr>
      <w:tr w:rsidR="00785188" w:rsidRPr="00482B1C" w14:paraId="5A062D6A" w14:textId="77777777" w:rsidTr="00785188">
        <w:trPr>
          <w:trHeight w:val="324"/>
        </w:trPr>
        <w:tc>
          <w:tcPr>
            <w:tcW w:w="2580" w:type="dxa"/>
            <w:vAlign w:val="center"/>
            <w:hideMark/>
          </w:tcPr>
          <w:p w14:paraId="55305871" w14:textId="77777777" w:rsidR="00785188" w:rsidRPr="00482B1C" w:rsidRDefault="00785188" w:rsidP="00785188">
            <w:pPr>
              <w:jc w:val="center"/>
              <w:rPr>
                <w:color w:val="000000"/>
                <w:lang w:val="vi-VN" w:eastAsia="vi-VN"/>
              </w:rPr>
            </w:pPr>
            <w:r w:rsidRPr="00482B1C">
              <w:rPr>
                <w:bCs/>
                <w:color w:val="000000"/>
                <w:lang w:eastAsia="vi-VN"/>
              </w:rPr>
              <w:t>2030</w:t>
            </w:r>
          </w:p>
        </w:tc>
        <w:tc>
          <w:tcPr>
            <w:tcW w:w="2840" w:type="dxa"/>
            <w:vAlign w:val="center"/>
            <w:hideMark/>
          </w:tcPr>
          <w:p w14:paraId="3ABDD725" w14:textId="77777777" w:rsidR="00785188" w:rsidRPr="00482B1C" w:rsidRDefault="00785188" w:rsidP="00785188">
            <w:pPr>
              <w:jc w:val="center"/>
              <w:rPr>
                <w:color w:val="000000"/>
                <w:lang w:val="vi-VN" w:eastAsia="vi-VN"/>
              </w:rPr>
            </w:pPr>
            <w:r w:rsidRPr="00482B1C">
              <w:rPr>
                <w:color w:val="000000"/>
                <w:lang w:val="vi-VN" w:eastAsia="vi-VN"/>
              </w:rPr>
              <w:t>9.000</w:t>
            </w:r>
          </w:p>
        </w:tc>
        <w:tc>
          <w:tcPr>
            <w:tcW w:w="2840" w:type="dxa"/>
            <w:vAlign w:val="center"/>
            <w:hideMark/>
          </w:tcPr>
          <w:p w14:paraId="1FF37618" w14:textId="77777777" w:rsidR="00785188" w:rsidRPr="00482B1C" w:rsidRDefault="00785188" w:rsidP="00785188">
            <w:pPr>
              <w:jc w:val="center"/>
              <w:rPr>
                <w:color w:val="000000"/>
                <w:lang w:val="vi-VN" w:eastAsia="vi-VN"/>
              </w:rPr>
            </w:pPr>
            <w:r w:rsidRPr="00482B1C">
              <w:rPr>
                <w:color w:val="000000"/>
                <w:lang w:val="vi-VN" w:eastAsia="vi-VN"/>
              </w:rPr>
              <w:t>16.200</w:t>
            </w:r>
          </w:p>
        </w:tc>
      </w:tr>
      <w:tr w:rsidR="00785188" w:rsidRPr="00482B1C" w14:paraId="469B0C63" w14:textId="77777777" w:rsidTr="00785188">
        <w:trPr>
          <w:trHeight w:val="324"/>
        </w:trPr>
        <w:tc>
          <w:tcPr>
            <w:tcW w:w="2580" w:type="dxa"/>
            <w:vAlign w:val="center"/>
            <w:hideMark/>
          </w:tcPr>
          <w:p w14:paraId="3A092C47" w14:textId="77777777" w:rsidR="00785188" w:rsidRPr="00482B1C" w:rsidRDefault="00785188" w:rsidP="00785188">
            <w:pPr>
              <w:jc w:val="center"/>
              <w:rPr>
                <w:color w:val="000000"/>
                <w:lang w:val="vi-VN" w:eastAsia="vi-VN"/>
              </w:rPr>
            </w:pPr>
            <w:r w:rsidRPr="00482B1C">
              <w:rPr>
                <w:bCs/>
                <w:color w:val="000000"/>
                <w:lang w:eastAsia="vi-VN"/>
              </w:rPr>
              <w:t>2031</w:t>
            </w:r>
          </w:p>
        </w:tc>
        <w:tc>
          <w:tcPr>
            <w:tcW w:w="2840" w:type="dxa"/>
            <w:vAlign w:val="center"/>
            <w:hideMark/>
          </w:tcPr>
          <w:p w14:paraId="0CF4616F" w14:textId="77777777" w:rsidR="00785188" w:rsidRPr="00482B1C" w:rsidRDefault="00785188" w:rsidP="00785188">
            <w:pPr>
              <w:jc w:val="center"/>
              <w:rPr>
                <w:color w:val="000000"/>
                <w:lang w:val="vi-VN" w:eastAsia="vi-VN"/>
              </w:rPr>
            </w:pPr>
            <w:r w:rsidRPr="00482B1C">
              <w:rPr>
                <w:color w:val="000000"/>
                <w:lang w:val="vi-VN" w:eastAsia="vi-VN"/>
              </w:rPr>
              <w:t>10.800</w:t>
            </w:r>
          </w:p>
        </w:tc>
        <w:tc>
          <w:tcPr>
            <w:tcW w:w="2840" w:type="dxa"/>
            <w:vAlign w:val="center"/>
            <w:hideMark/>
          </w:tcPr>
          <w:p w14:paraId="164A974C" w14:textId="77777777" w:rsidR="00785188" w:rsidRPr="00482B1C" w:rsidRDefault="00785188" w:rsidP="00785188">
            <w:pPr>
              <w:jc w:val="center"/>
              <w:rPr>
                <w:color w:val="000000"/>
                <w:lang w:val="vi-VN" w:eastAsia="vi-VN"/>
              </w:rPr>
            </w:pPr>
            <w:r w:rsidRPr="00482B1C">
              <w:rPr>
                <w:color w:val="000000"/>
                <w:lang w:val="vi-VN" w:eastAsia="vi-VN"/>
              </w:rPr>
              <w:t>19.800</w:t>
            </w:r>
          </w:p>
        </w:tc>
      </w:tr>
      <w:tr w:rsidR="00785188" w:rsidRPr="00482B1C" w14:paraId="1082172E" w14:textId="77777777" w:rsidTr="00785188">
        <w:trPr>
          <w:trHeight w:val="324"/>
        </w:trPr>
        <w:tc>
          <w:tcPr>
            <w:tcW w:w="2580" w:type="dxa"/>
            <w:vAlign w:val="center"/>
            <w:hideMark/>
          </w:tcPr>
          <w:p w14:paraId="4536FA45" w14:textId="77777777" w:rsidR="00785188" w:rsidRPr="00482B1C" w:rsidRDefault="00785188" w:rsidP="00785188">
            <w:pPr>
              <w:jc w:val="center"/>
              <w:rPr>
                <w:b/>
                <w:bCs/>
                <w:color w:val="000000"/>
                <w:lang w:val="vi-VN" w:eastAsia="vi-VN"/>
              </w:rPr>
            </w:pPr>
            <w:r w:rsidRPr="00482B1C">
              <w:rPr>
                <w:b/>
                <w:bCs/>
                <w:color w:val="000000"/>
                <w:lang w:eastAsia="vi-VN"/>
              </w:rPr>
              <w:t>2026 - 2031</w:t>
            </w:r>
          </w:p>
        </w:tc>
        <w:tc>
          <w:tcPr>
            <w:tcW w:w="2840" w:type="dxa"/>
            <w:vAlign w:val="center"/>
            <w:hideMark/>
          </w:tcPr>
          <w:p w14:paraId="692C0DC5" w14:textId="77777777" w:rsidR="00785188" w:rsidRPr="00482B1C" w:rsidRDefault="00785188" w:rsidP="00785188">
            <w:pPr>
              <w:jc w:val="center"/>
              <w:rPr>
                <w:b/>
                <w:bCs/>
                <w:color w:val="000000"/>
                <w:lang w:val="vi-VN" w:eastAsia="vi-VN"/>
              </w:rPr>
            </w:pPr>
            <w:r w:rsidRPr="00482B1C">
              <w:rPr>
                <w:b/>
                <w:bCs/>
                <w:color w:val="000000"/>
                <w:lang w:eastAsia="vi-VN"/>
              </w:rPr>
              <w:t>36.900</w:t>
            </w:r>
          </w:p>
        </w:tc>
        <w:tc>
          <w:tcPr>
            <w:tcW w:w="2840" w:type="dxa"/>
            <w:vAlign w:val="center"/>
            <w:hideMark/>
          </w:tcPr>
          <w:p w14:paraId="5A191D33" w14:textId="77777777" w:rsidR="00785188" w:rsidRPr="00482B1C" w:rsidRDefault="00785188" w:rsidP="00785188">
            <w:pPr>
              <w:jc w:val="center"/>
              <w:rPr>
                <w:b/>
                <w:bCs/>
                <w:color w:val="000000"/>
                <w:lang w:val="vi-VN" w:eastAsia="vi-VN"/>
              </w:rPr>
            </w:pPr>
            <w:r w:rsidRPr="00482B1C">
              <w:rPr>
                <w:b/>
                <w:bCs/>
                <w:color w:val="000000"/>
                <w:lang w:eastAsia="vi-VN"/>
              </w:rPr>
              <w:t>63.900</w:t>
            </w:r>
          </w:p>
        </w:tc>
      </w:tr>
    </w:tbl>
    <w:p w14:paraId="736DBFA3" w14:textId="56A276EC" w:rsidR="00494ABA" w:rsidRPr="00482B1C" w:rsidRDefault="00494ABA" w:rsidP="00494ABA">
      <w:pPr>
        <w:widowControl w:val="0"/>
        <w:spacing w:before="120" w:after="120" w:line="276" w:lineRule="auto"/>
        <w:ind w:firstLine="426"/>
        <w:jc w:val="both"/>
        <w:rPr>
          <w:bCs/>
          <w:i/>
          <w:iCs/>
          <w:color w:val="000000"/>
          <w:lang w:val="vi-VN"/>
        </w:rPr>
      </w:pPr>
      <w:r w:rsidRPr="00482B1C">
        <w:rPr>
          <w:bCs/>
          <w:i/>
          <w:iCs/>
          <w:color w:val="000000"/>
          <w:lang w:val="vi-VN"/>
        </w:rPr>
        <w:lastRenderedPageBreak/>
        <w:t xml:space="preserve">Kinh phí chi trả dự kiến mỗi trường hợp ở mức </w:t>
      </w:r>
      <w:r w:rsidR="00B437BD" w:rsidRPr="00482B1C">
        <w:rPr>
          <w:bCs/>
          <w:i/>
          <w:iCs/>
          <w:color w:val="000000"/>
          <w:lang w:val="vi-VN"/>
        </w:rPr>
        <w:t>trung bình 30</w:t>
      </w:r>
      <w:r w:rsidRPr="00482B1C">
        <w:rPr>
          <w:bCs/>
          <w:i/>
          <w:iCs/>
          <w:color w:val="000000"/>
          <w:lang w:val="vi-VN"/>
        </w:rPr>
        <w:t xml:space="preserve"> triệu đồng/ tháng và kinh phí dự kiến của năm sau liền kề đã bao gồm kinh phí chi trả cho đối tượng đã thu hút ở năm trước liền kề.</w:t>
      </w:r>
    </w:p>
    <w:p w14:paraId="0C9555E9" w14:textId="61BDE54A" w:rsidR="0011439B" w:rsidRPr="00482B1C" w:rsidRDefault="0011439B" w:rsidP="0011439B">
      <w:pPr>
        <w:widowControl w:val="0"/>
        <w:spacing w:before="120" w:after="120" w:line="276" w:lineRule="auto"/>
        <w:ind w:firstLine="400"/>
        <w:jc w:val="both"/>
        <w:rPr>
          <w:bCs/>
          <w:color w:val="000000"/>
          <w:lang w:val="vi-VN"/>
        </w:rPr>
      </w:pPr>
      <w:r w:rsidRPr="00482B1C">
        <w:rPr>
          <w:bCs/>
          <w:color w:val="000000"/>
          <w:lang w:val="vi-VN"/>
        </w:rPr>
        <w:t>b) Đối với chính sách hỗ trợ đào tạo:</w:t>
      </w:r>
    </w:p>
    <w:p w14:paraId="580D8E1B" w14:textId="4007D613" w:rsidR="0011439B" w:rsidRPr="00482B1C" w:rsidRDefault="0011439B" w:rsidP="0011439B">
      <w:pPr>
        <w:widowControl w:val="0"/>
        <w:spacing w:before="120" w:after="120" w:line="276" w:lineRule="auto"/>
        <w:ind w:firstLine="400"/>
        <w:jc w:val="both"/>
        <w:rPr>
          <w:bCs/>
          <w:color w:val="000000"/>
          <w:lang w:val="vi-VN"/>
        </w:rPr>
      </w:pPr>
      <w:r w:rsidRPr="00482B1C">
        <w:rPr>
          <w:b/>
          <w:i/>
          <w:iCs/>
          <w:color w:val="000000"/>
          <w:lang w:val="vi-VN"/>
        </w:rPr>
        <w:t xml:space="preserve">- Về số lượng </w:t>
      </w:r>
      <w:r w:rsidR="00D66D47" w:rsidRPr="00482B1C">
        <w:rPr>
          <w:b/>
          <w:i/>
          <w:iCs/>
          <w:color w:val="000000"/>
          <w:lang w:val="vi-VN"/>
        </w:rPr>
        <w:t>hỗ trợ đào tạo</w:t>
      </w:r>
      <w:r w:rsidRPr="00482B1C">
        <w:rPr>
          <w:b/>
          <w:i/>
          <w:iCs/>
          <w:color w:val="000000"/>
          <w:lang w:val="vi-VN"/>
        </w:rPr>
        <w:t xml:space="preserve">: </w:t>
      </w:r>
      <w:r w:rsidRPr="00482B1C">
        <w:rPr>
          <w:bCs/>
          <w:color w:val="000000"/>
          <w:lang w:val="vi-VN"/>
        </w:rPr>
        <w:t xml:space="preserve">Dự kiến </w:t>
      </w:r>
      <w:r w:rsidR="009149D3" w:rsidRPr="00482B1C">
        <w:rPr>
          <w:bCs/>
          <w:color w:val="000000"/>
          <w:lang w:val="vi-VN"/>
        </w:rPr>
        <w:t>hỗ trợ đào tạo</w:t>
      </w:r>
      <w:r w:rsidRPr="00482B1C">
        <w:rPr>
          <w:bCs/>
          <w:color w:val="000000"/>
          <w:lang w:val="vi-VN"/>
        </w:rPr>
        <w:t xml:space="preserve"> trong năm 2026 là </w:t>
      </w:r>
      <w:r w:rsidRPr="00482B1C">
        <w:rPr>
          <w:b/>
          <w:color w:val="000000"/>
          <w:lang w:val="vi-VN"/>
        </w:rPr>
        <w:t>05</w:t>
      </w:r>
      <w:r w:rsidRPr="00482B1C">
        <w:rPr>
          <w:bCs/>
          <w:color w:val="000000"/>
          <w:lang w:val="vi-VN"/>
        </w:rPr>
        <w:t xml:space="preserve"> trường hợp và giai đoạn 2026 – 2031, mỗi năm </w:t>
      </w:r>
      <w:r w:rsidR="009149D3" w:rsidRPr="00482B1C">
        <w:rPr>
          <w:bCs/>
          <w:color w:val="000000"/>
          <w:lang w:val="vi-VN"/>
        </w:rPr>
        <w:t xml:space="preserve">hỗ trợ đào tạo </w:t>
      </w:r>
      <w:r w:rsidRPr="00482B1C">
        <w:rPr>
          <w:bCs/>
          <w:color w:val="000000"/>
          <w:lang w:val="vi-VN"/>
        </w:rPr>
        <w:t xml:space="preserve">khoảng từ </w:t>
      </w:r>
      <w:r w:rsidRPr="00482B1C">
        <w:rPr>
          <w:b/>
          <w:color w:val="000000"/>
          <w:lang w:val="vi-VN"/>
        </w:rPr>
        <w:t>05</w:t>
      </w:r>
      <w:r w:rsidRPr="00482B1C">
        <w:rPr>
          <w:bCs/>
          <w:color w:val="000000"/>
          <w:lang w:val="vi-VN"/>
        </w:rPr>
        <w:t xml:space="preserve"> đến </w:t>
      </w:r>
      <w:r w:rsidRPr="00482B1C">
        <w:rPr>
          <w:b/>
          <w:color w:val="000000"/>
          <w:lang w:val="vi-VN"/>
        </w:rPr>
        <w:t>10</w:t>
      </w:r>
      <w:r w:rsidRPr="00482B1C">
        <w:rPr>
          <w:bCs/>
          <w:color w:val="000000"/>
          <w:lang w:val="vi-VN"/>
        </w:rPr>
        <w:t xml:space="preserve"> trường hợp.</w:t>
      </w:r>
    </w:p>
    <w:p w14:paraId="1B118012" w14:textId="1CA7D85D" w:rsidR="0011439B" w:rsidRPr="00482B1C" w:rsidRDefault="0011439B" w:rsidP="0011439B">
      <w:pPr>
        <w:widowControl w:val="0"/>
        <w:spacing w:before="120" w:after="120" w:line="276" w:lineRule="auto"/>
        <w:ind w:firstLine="426"/>
        <w:jc w:val="both"/>
        <w:rPr>
          <w:bCs/>
          <w:color w:val="000000"/>
          <w:lang w:val="vi-VN"/>
        </w:rPr>
      </w:pPr>
      <w:r w:rsidRPr="00482B1C">
        <w:rPr>
          <w:b/>
          <w:i/>
          <w:iCs/>
          <w:color w:val="000000"/>
          <w:lang w:val="vi-VN"/>
        </w:rPr>
        <w:t xml:space="preserve">- Dự kiến kinh phí thực hiện chính sách </w:t>
      </w:r>
      <w:r w:rsidR="003C336B" w:rsidRPr="00482B1C">
        <w:rPr>
          <w:b/>
          <w:i/>
          <w:iCs/>
          <w:color w:val="000000"/>
          <w:lang w:val="vi-VN"/>
        </w:rPr>
        <w:t>hỗ trợ đào tạo</w:t>
      </w:r>
      <w:r w:rsidRPr="00482B1C">
        <w:rPr>
          <w:b/>
          <w:i/>
          <w:iCs/>
          <w:color w:val="000000"/>
          <w:lang w:val="vi-VN"/>
        </w:rPr>
        <w:t xml:space="preserve">: </w:t>
      </w:r>
      <w:r w:rsidRPr="00482B1C">
        <w:rPr>
          <w:bCs/>
          <w:color w:val="000000"/>
          <w:lang w:val="vi-VN"/>
        </w:rPr>
        <w:t xml:space="preserve">Dự kiến tổng ngân sách bố trí để chi trả chính sách </w:t>
      </w:r>
      <w:r w:rsidR="006B1468" w:rsidRPr="00482B1C">
        <w:rPr>
          <w:bCs/>
          <w:color w:val="000000"/>
          <w:lang w:val="vi-VN"/>
        </w:rPr>
        <w:t>hỗ trợ đào tạo</w:t>
      </w:r>
      <w:r w:rsidRPr="00482B1C">
        <w:rPr>
          <w:bCs/>
          <w:color w:val="000000"/>
          <w:lang w:val="vi-VN"/>
        </w:rPr>
        <w:t xml:space="preserve"> trong giai đoạn 2026 – 2031 khoảng từ </w:t>
      </w:r>
      <w:r w:rsidR="004B2D04" w:rsidRPr="00482B1C">
        <w:rPr>
          <w:bCs/>
          <w:color w:val="000000"/>
          <w:lang w:val="vi-VN"/>
        </w:rPr>
        <w:t>10</w:t>
      </w:r>
      <w:r w:rsidRPr="00482B1C">
        <w:rPr>
          <w:bCs/>
          <w:color w:val="000000"/>
          <w:lang w:val="vi-VN"/>
        </w:rPr>
        <w:t>.</w:t>
      </w:r>
      <w:r w:rsidR="004B2D04" w:rsidRPr="00482B1C">
        <w:rPr>
          <w:bCs/>
          <w:color w:val="000000"/>
          <w:lang w:val="vi-VN"/>
        </w:rPr>
        <w:t>5</w:t>
      </w:r>
      <w:r w:rsidRPr="00482B1C">
        <w:rPr>
          <w:bCs/>
          <w:color w:val="000000"/>
          <w:lang w:val="vi-VN"/>
        </w:rPr>
        <w:t xml:space="preserve">00 đến dưới </w:t>
      </w:r>
      <w:r w:rsidR="004B2D04" w:rsidRPr="00482B1C">
        <w:rPr>
          <w:bCs/>
          <w:color w:val="000000"/>
          <w:lang w:val="vi-VN"/>
        </w:rPr>
        <w:t>17</w:t>
      </w:r>
      <w:r w:rsidRPr="00482B1C">
        <w:rPr>
          <w:bCs/>
          <w:color w:val="000000"/>
          <w:lang w:val="vi-VN"/>
        </w:rPr>
        <w:t>.</w:t>
      </w:r>
      <w:r w:rsidR="004B2D04" w:rsidRPr="00482B1C">
        <w:rPr>
          <w:bCs/>
          <w:color w:val="000000"/>
          <w:lang w:val="vi-VN"/>
        </w:rPr>
        <w:t>5</w:t>
      </w:r>
      <w:r w:rsidRPr="00482B1C">
        <w:rPr>
          <w:bCs/>
          <w:color w:val="000000"/>
          <w:lang w:val="vi-VN"/>
        </w:rPr>
        <w:t>00 triệu đồng, cụ thể chi tiết như sau:</w:t>
      </w: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3116"/>
        <w:gridCol w:w="3117"/>
      </w:tblGrid>
      <w:tr w:rsidR="00D52574" w:rsidRPr="00482B1C" w14:paraId="74E420AB" w14:textId="77777777" w:rsidTr="00D52574">
        <w:trPr>
          <w:trHeight w:val="314"/>
        </w:trPr>
        <w:tc>
          <w:tcPr>
            <w:tcW w:w="2831" w:type="dxa"/>
            <w:vMerge w:val="restart"/>
            <w:vAlign w:val="center"/>
            <w:hideMark/>
          </w:tcPr>
          <w:p w14:paraId="52F10BD7" w14:textId="77777777" w:rsidR="00D52574" w:rsidRPr="00482B1C" w:rsidRDefault="00D52574" w:rsidP="00D52574">
            <w:pPr>
              <w:jc w:val="center"/>
              <w:rPr>
                <w:b/>
                <w:bCs/>
                <w:color w:val="000000"/>
                <w:lang w:val="vi-VN" w:eastAsia="vi-VN"/>
              </w:rPr>
            </w:pPr>
            <w:r w:rsidRPr="00482B1C">
              <w:rPr>
                <w:b/>
                <w:bCs/>
                <w:color w:val="000000"/>
                <w:lang w:eastAsia="vi-VN"/>
              </w:rPr>
              <w:t>Thời gian</w:t>
            </w:r>
          </w:p>
        </w:tc>
        <w:tc>
          <w:tcPr>
            <w:tcW w:w="6233" w:type="dxa"/>
            <w:gridSpan w:val="2"/>
            <w:vAlign w:val="center"/>
            <w:hideMark/>
          </w:tcPr>
          <w:p w14:paraId="046013CC" w14:textId="77777777" w:rsidR="00D52574" w:rsidRPr="00482B1C" w:rsidRDefault="00D52574" w:rsidP="00D52574">
            <w:pPr>
              <w:jc w:val="center"/>
              <w:rPr>
                <w:b/>
                <w:bCs/>
                <w:color w:val="000000"/>
                <w:lang w:val="vi-VN" w:eastAsia="vi-VN"/>
              </w:rPr>
            </w:pPr>
            <w:r w:rsidRPr="00482B1C">
              <w:rPr>
                <w:b/>
                <w:bCs/>
                <w:color w:val="000000"/>
                <w:lang w:eastAsia="vi-VN"/>
              </w:rPr>
              <w:t>Dự kiến kinh phí</w:t>
            </w:r>
          </w:p>
        </w:tc>
      </w:tr>
      <w:tr w:rsidR="00D52574" w:rsidRPr="00482B1C" w14:paraId="1AB09541" w14:textId="77777777" w:rsidTr="00BB2E70">
        <w:trPr>
          <w:trHeight w:val="314"/>
        </w:trPr>
        <w:tc>
          <w:tcPr>
            <w:tcW w:w="2831" w:type="dxa"/>
            <w:vMerge/>
            <w:vAlign w:val="center"/>
            <w:hideMark/>
          </w:tcPr>
          <w:p w14:paraId="6EC63CB9" w14:textId="77777777" w:rsidR="00D52574" w:rsidRPr="00482B1C" w:rsidRDefault="00D52574" w:rsidP="00D52574">
            <w:pPr>
              <w:rPr>
                <w:b/>
                <w:bCs/>
                <w:color w:val="000000"/>
                <w:lang w:val="vi-VN" w:eastAsia="vi-VN"/>
              </w:rPr>
            </w:pPr>
          </w:p>
        </w:tc>
        <w:tc>
          <w:tcPr>
            <w:tcW w:w="3116" w:type="dxa"/>
            <w:vAlign w:val="center"/>
            <w:hideMark/>
          </w:tcPr>
          <w:p w14:paraId="4614881B" w14:textId="77777777" w:rsidR="00D52574" w:rsidRPr="00482B1C" w:rsidRDefault="00D52574" w:rsidP="00D52574">
            <w:pPr>
              <w:jc w:val="center"/>
              <w:rPr>
                <w:b/>
                <w:bCs/>
                <w:color w:val="000000"/>
                <w:lang w:val="vi-VN" w:eastAsia="vi-VN"/>
              </w:rPr>
            </w:pPr>
            <w:r w:rsidRPr="00482B1C">
              <w:rPr>
                <w:b/>
                <w:bCs/>
                <w:color w:val="000000"/>
                <w:lang w:eastAsia="vi-VN"/>
              </w:rPr>
              <w:t xml:space="preserve">05 người </w:t>
            </w:r>
            <w:r w:rsidRPr="00482B1C">
              <w:rPr>
                <w:i/>
                <w:iCs/>
                <w:color w:val="000000"/>
                <w:lang w:eastAsia="vi-VN"/>
              </w:rPr>
              <w:t>(triệu đồng)</w:t>
            </w:r>
          </w:p>
        </w:tc>
        <w:tc>
          <w:tcPr>
            <w:tcW w:w="3117" w:type="dxa"/>
            <w:vAlign w:val="center"/>
            <w:hideMark/>
          </w:tcPr>
          <w:p w14:paraId="1CB65A3D" w14:textId="77777777" w:rsidR="00D52574" w:rsidRPr="00482B1C" w:rsidRDefault="00D52574" w:rsidP="00D52574">
            <w:pPr>
              <w:jc w:val="center"/>
              <w:rPr>
                <w:b/>
                <w:bCs/>
                <w:color w:val="000000"/>
                <w:lang w:val="vi-VN" w:eastAsia="vi-VN"/>
              </w:rPr>
            </w:pPr>
            <w:r w:rsidRPr="00482B1C">
              <w:rPr>
                <w:b/>
                <w:bCs/>
                <w:color w:val="000000"/>
                <w:lang w:eastAsia="vi-VN"/>
              </w:rPr>
              <w:t xml:space="preserve">10 người </w:t>
            </w:r>
            <w:r w:rsidRPr="00482B1C">
              <w:rPr>
                <w:i/>
                <w:iCs/>
                <w:color w:val="000000"/>
                <w:lang w:eastAsia="vi-VN"/>
              </w:rPr>
              <w:t>(triệu đồng)</w:t>
            </w:r>
          </w:p>
        </w:tc>
      </w:tr>
      <w:tr w:rsidR="00D52574" w:rsidRPr="00482B1C" w14:paraId="4317A7F7" w14:textId="77777777" w:rsidTr="00BB2E70">
        <w:trPr>
          <w:trHeight w:val="314"/>
        </w:trPr>
        <w:tc>
          <w:tcPr>
            <w:tcW w:w="2831" w:type="dxa"/>
            <w:vAlign w:val="center"/>
            <w:hideMark/>
          </w:tcPr>
          <w:p w14:paraId="035A8FD8" w14:textId="77777777" w:rsidR="00D52574" w:rsidRPr="00482B1C" w:rsidRDefault="00D52574" w:rsidP="00D52574">
            <w:pPr>
              <w:jc w:val="center"/>
              <w:rPr>
                <w:color w:val="000000"/>
                <w:lang w:val="vi-VN" w:eastAsia="vi-VN"/>
              </w:rPr>
            </w:pPr>
            <w:r w:rsidRPr="00482B1C">
              <w:rPr>
                <w:bCs/>
                <w:color w:val="000000"/>
                <w:lang w:eastAsia="vi-VN"/>
              </w:rPr>
              <w:t>2026</w:t>
            </w:r>
          </w:p>
        </w:tc>
        <w:tc>
          <w:tcPr>
            <w:tcW w:w="3116" w:type="dxa"/>
            <w:vAlign w:val="center"/>
            <w:hideMark/>
          </w:tcPr>
          <w:p w14:paraId="444D11E8" w14:textId="77777777" w:rsidR="00D52574" w:rsidRPr="00482B1C" w:rsidRDefault="00D52574" w:rsidP="00D52574">
            <w:pPr>
              <w:jc w:val="center"/>
              <w:rPr>
                <w:color w:val="000000"/>
                <w:lang w:val="vi-VN" w:eastAsia="vi-VN"/>
              </w:rPr>
            </w:pPr>
            <w:r w:rsidRPr="00482B1C">
              <w:rPr>
                <w:color w:val="000000"/>
                <w:lang w:eastAsia="vi-VN"/>
              </w:rPr>
              <w:t>1.750</w:t>
            </w:r>
          </w:p>
        </w:tc>
        <w:tc>
          <w:tcPr>
            <w:tcW w:w="3117" w:type="dxa"/>
            <w:vAlign w:val="center"/>
            <w:hideMark/>
          </w:tcPr>
          <w:p w14:paraId="5BB4D336" w14:textId="77777777" w:rsidR="00D52574" w:rsidRPr="00482B1C" w:rsidRDefault="00D52574" w:rsidP="00D52574">
            <w:pPr>
              <w:rPr>
                <w:color w:val="000000"/>
                <w:lang w:val="vi-VN" w:eastAsia="vi-VN"/>
              </w:rPr>
            </w:pPr>
            <w:r w:rsidRPr="00482B1C">
              <w:rPr>
                <w:color w:val="000000"/>
                <w:lang w:val="vi-VN" w:eastAsia="vi-VN"/>
              </w:rPr>
              <w:t> </w:t>
            </w:r>
          </w:p>
        </w:tc>
      </w:tr>
      <w:tr w:rsidR="00D52574" w:rsidRPr="00482B1C" w14:paraId="021CFE9B" w14:textId="77777777" w:rsidTr="00BB2E70">
        <w:trPr>
          <w:trHeight w:val="314"/>
        </w:trPr>
        <w:tc>
          <w:tcPr>
            <w:tcW w:w="2831" w:type="dxa"/>
            <w:vAlign w:val="center"/>
            <w:hideMark/>
          </w:tcPr>
          <w:p w14:paraId="7D939767" w14:textId="77777777" w:rsidR="00D52574" w:rsidRPr="00482B1C" w:rsidRDefault="00D52574" w:rsidP="00D52574">
            <w:pPr>
              <w:jc w:val="center"/>
              <w:rPr>
                <w:color w:val="000000"/>
                <w:lang w:val="vi-VN" w:eastAsia="vi-VN"/>
              </w:rPr>
            </w:pPr>
            <w:r w:rsidRPr="00482B1C">
              <w:rPr>
                <w:bCs/>
                <w:color w:val="000000"/>
                <w:lang w:eastAsia="vi-VN"/>
              </w:rPr>
              <w:t>2027</w:t>
            </w:r>
          </w:p>
        </w:tc>
        <w:tc>
          <w:tcPr>
            <w:tcW w:w="3116" w:type="dxa"/>
            <w:vAlign w:val="center"/>
            <w:hideMark/>
          </w:tcPr>
          <w:p w14:paraId="2224411B" w14:textId="77777777" w:rsidR="00D52574" w:rsidRPr="00482B1C" w:rsidRDefault="00D52574" w:rsidP="00D52574">
            <w:pPr>
              <w:jc w:val="center"/>
              <w:rPr>
                <w:color w:val="000000"/>
                <w:lang w:val="vi-VN" w:eastAsia="vi-VN"/>
              </w:rPr>
            </w:pPr>
            <w:r w:rsidRPr="00482B1C">
              <w:rPr>
                <w:color w:val="000000"/>
                <w:lang w:eastAsia="vi-VN"/>
              </w:rPr>
              <w:t>1.750</w:t>
            </w:r>
          </w:p>
        </w:tc>
        <w:tc>
          <w:tcPr>
            <w:tcW w:w="3117" w:type="dxa"/>
            <w:vAlign w:val="center"/>
            <w:hideMark/>
          </w:tcPr>
          <w:p w14:paraId="63E277DB" w14:textId="77777777" w:rsidR="00D52574" w:rsidRPr="00482B1C" w:rsidRDefault="00D52574" w:rsidP="00D52574">
            <w:pPr>
              <w:jc w:val="center"/>
              <w:rPr>
                <w:color w:val="000000"/>
                <w:lang w:val="vi-VN" w:eastAsia="vi-VN"/>
              </w:rPr>
            </w:pPr>
            <w:r w:rsidRPr="00482B1C">
              <w:rPr>
                <w:color w:val="000000"/>
                <w:lang w:val="vi-VN" w:eastAsia="vi-VN"/>
              </w:rPr>
              <w:t>3.500</w:t>
            </w:r>
          </w:p>
        </w:tc>
      </w:tr>
      <w:tr w:rsidR="00D52574" w:rsidRPr="00482B1C" w14:paraId="6AC1A674" w14:textId="77777777" w:rsidTr="00BB2E70">
        <w:trPr>
          <w:trHeight w:val="314"/>
        </w:trPr>
        <w:tc>
          <w:tcPr>
            <w:tcW w:w="2831" w:type="dxa"/>
            <w:vAlign w:val="center"/>
            <w:hideMark/>
          </w:tcPr>
          <w:p w14:paraId="2D601EF5" w14:textId="77777777" w:rsidR="00D52574" w:rsidRPr="00482B1C" w:rsidRDefault="00D52574" w:rsidP="00D52574">
            <w:pPr>
              <w:jc w:val="center"/>
              <w:rPr>
                <w:color w:val="000000"/>
                <w:lang w:val="vi-VN" w:eastAsia="vi-VN"/>
              </w:rPr>
            </w:pPr>
            <w:r w:rsidRPr="00482B1C">
              <w:rPr>
                <w:bCs/>
                <w:color w:val="000000"/>
                <w:lang w:eastAsia="vi-VN"/>
              </w:rPr>
              <w:t>2028</w:t>
            </w:r>
          </w:p>
        </w:tc>
        <w:tc>
          <w:tcPr>
            <w:tcW w:w="3116" w:type="dxa"/>
            <w:vAlign w:val="center"/>
            <w:hideMark/>
          </w:tcPr>
          <w:p w14:paraId="5B905BA5" w14:textId="77777777" w:rsidR="00D52574" w:rsidRPr="00482B1C" w:rsidRDefault="00D52574" w:rsidP="00D52574">
            <w:pPr>
              <w:jc w:val="center"/>
              <w:rPr>
                <w:color w:val="000000"/>
                <w:lang w:val="vi-VN" w:eastAsia="vi-VN"/>
              </w:rPr>
            </w:pPr>
            <w:r w:rsidRPr="00482B1C">
              <w:rPr>
                <w:color w:val="000000"/>
                <w:lang w:val="vi-VN" w:eastAsia="vi-VN"/>
              </w:rPr>
              <w:t>1.750</w:t>
            </w:r>
          </w:p>
        </w:tc>
        <w:tc>
          <w:tcPr>
            <w:tcW w:w="3117" w:type="dxa"/>
            <w:vAlign w:val="center"/>
            <w:hideMark/>
          </w:tcPr>
          <w:p w14:paraId="4C18B417" w14:textId="77777777" w:rsidR="00D52574" w:rsidRPr="00482B1C" w:rsidRDefault="00D52574" w:rsidP="00D52574">
            <w:pPr>
              <w:jc w:val="center"/>
              <w:rPr>
                <w:color w:val="000000"/>
                <w:lang w:val="vi-VN" w:eastAsia="vi-VN"/>
              </w:rPr>
            </w:pPr>
            <w:r w:rsidRPr="00482B1C">
              <w:rPr>
                <w:color w:val="000000"/>
                <w:lang w:val="vi-VN" w:eastAsia="vi-VN"/>
              </w:rPr>
              <w:t>3.500</w:t>
            </w:r>
          </w:p>
        </w:tc>
      </w:tr>
      <w:tr w:rsidR="00D52574" w:rsidRPr="00482B1C" w14:paraId="27EBE78D" w14:textId="77777777" w:rsidTr="00BB2E70">
        <w:trPr>
          <w:trHeight w:val="314"/>
        </w:trPr>
        <w:tc>
          <w:tcPr>
            <w:tcW w:w="2831" w:type="dxa"/>
            <w:vAlign w:val="center"/>
            <w:hideMark/>
          </w:tcPr>
          <w:p w14:paraId="221B90A7" w14:textId="77777777" w:rsidR="00D52574" w:rsidRPr="00482B1C" w:rsidRDefault="00D52574" w:rsidP="00D52574">
            <w:pPr>
              <w:jc w:val="center"/>
              <w:rPr>
                <w:color w:val="000000"/>
                <w:lang w:val="vi-VN" w:eastAsia="vi-VN"/>
              </w:rPr>
            </w:pPr>
            <w:r w:rsidRPr="00482B1C">
              <w:rPr>
                <w:bCs/>
                <w:color w:val="000000"/>
                <w:lang w:eastAsia="vi-VN"/>
              </w:rPr>
              <w:t>2029</w:t>
            </w:r>
          </w:p>
        </w:tc>
        <w:tc>
          <w:tcPr>
            <w:tcW w:w="3116" w:type="dxa"/>
            <w:vAlign w:val="center"/>
            <w:hideMark/>
          </w:tcPr>
          <w:p w14:paraId="16890859" w14:textId="77777777" w:rsidR="00D52574" w:rsidRPr="00482B1C" w:rsidRDefault="00D52574" w:rsidP="00D52574">
            <w:pPr>
              <w:jc w:val="center"/>
              <w:rPr>
                <w:color w:val="000000"/>
                <w:lang w:val="vi-VN" w:eastAsia="vi-VN"/>
              </w:rPr>
            </w:pPr>
            <w:r w:rsidRPr="00482B1C">
              <w:rPr>
                <w:color w:val="000000"/>
                <w:lang w:val="vi-VN" w:eastAsia="vi-VN"/>
              </w:rPr>
              <w:t>1.750</w:t>
            </w:r>
          </w:p>
        </w:tc>
        <w:tc>
          <w:tcPr>
            <w:tcW w:w="3117" w:type="dxa"/>
            <w:vAlign w:val="center"/>
            <w:hideMark/>
          </w:tcPr>
          <w:p w14:paraId="22120238" w14:textId="77777777" w:rsidR="00D52574" w:rsidRPr="00482B1C" w:rsidRDefault="00D52574" w:rsidP="00D52574">
            <w:pPr>
              <w:jc w:val="center"/>
              <w:rPr>
                <w:color w:val="000000"/>
                <w:lang w:val="vi-VN" w:eastAsia="vi-VN"/>
              </w:rPr>
            </w:pPr>
            <w:r w:rsidRPr="00482B1C">
              <w:rPr>
                <w:color w:val="000000"/>
                <w:lang w:val="vi-VN" w:eastAsia="vi-VN"/>
              </w:rPr>
              <w:t>3.500</w:t>
            </w:r>
          </w:p>
        </w:tc>
      </w:tr>
      <w:tr w:rsidR="00D52574" w:rsidRPr="00482B1C" w14:paraId="6EBA1226" w14:textId="77777777" w:rsidTr="00BB2E70">
        <w:trPr>
          <w:trHeight w:val="314"/>
        </w:trPr>
        <w:tc>
          <w:tcPr>
            <w:tcW w:w="2831" w:type="dxa"/>
            <w:vAlign w:val="center"/>
            <w:hideMark/>
          </w:tcPr>
          <w:p w14:paraId="201ED175" w14:textId="77777777" w:rsidR="00D52574" w:rsidRPr="00482B1C" w:rsidRDefault="00D52574" w:rsidP="00D52574">
            <w:pPr>
              <w:jc w:val="center"/>
              <w:rPr>
                <w:color w:val="000000"/>
                <w:lang w:val="vi-VN" w:eastAsia="vi-VN"/>
              </w:rPr>
            </w:pPr>
            <w:r w:rsidRPr="00482B1C">
              <w:rPr>
                <w:bCs/>
                <w:color w:val="000000"/>
                <w:lang w:eastAsia="vi-VN"/>
              </w:rPr>
              <w:t>2030</w:t>
            </w:r>
          </w:p>
        </w:tc>
        <w:tc>
          <w:tcPr>
            <w:tcW w:w="3116" w:type="dxa"/>
            <w:vAlign w:val="center"/>
            <w:hideMark/>
          </w:tcPr>
          <w:p w14:paraId="5956490C" w14:textId="77777777" w:rsidR="00D52574" w:rsidRPr="00482B1C" w:rsidRDefault="00D52574" w:rsidP="00D52574">
            <w:pPr>
              <w:jc w:val="center"/>
              <w:rPr>
                <w:color w:val="000000"/>
                <w:lang w:val="vi-VN" w:eastAsia="vi-VN"/>
              </w:rPr>
            </w:pPr>
            <w:r w:rsidRPr="00482B1C">
              <w:rPr>
                <w:color w:val="000000"/>
                <w:lang w:val="vi-VN" w:eastAsia="vi-VN"/>
              </w:rPr>
              <w:t>1.750</w:t>
            </w:r>
          </w:p>
        </w:tc>
        <w:tc>
          <w:tcPr>
            <w:tcW w:w="3117" w:type="dxa"/>
            <w:vAlign w:val="center"/>
            <w:hideMark/>
          </w:tcPr>
          <w:p w14:paraId="5E3D3F81" w14:textId="77777777" w:rsidR="00D52574" w:rsidRPr="00482B1C" w:rsidRDefault="00D52574" w:rsidP="00D52574">
            <w:pPr>
              <w:jc w:val="center"/>
              <w:rPr>
                <w:color w:val="000000"/>
                <w:lang w:val="vi-VN" w:eastAsia="vi-VN"/>
              </w:rPr>
            </w:pPr>
            <w:r w:rsidRPr="00482B1C">
              <w:rPr>
                <w:color w:val="000000"/>
                <w:lang w:val="vi-VN" w:eastAsia="vi-VN"/>
              </w:rPr>
              <w:t>3.500</w:t>
            </w:r>
          </w:p>
        </w:tc>
      </w:tr>
      <w:tr w:rsidR="00D52574" w:rsidRPr="00482B1C" w14:paraId="7BA41ACF" w14:textId="77777777" w:rsidTr="00BB2E70">
        <w:trPr>
          <w:trHeight w:val="314"/>
        </w:trPr>
        <w:tc>
          <w:tcPr>
            <w:tcW w:w="2831" w:type="dxa"/>
            <w:vAlign w:val="center"/>
            <w:hideMark/>
          </w:tcPr>
          <w:p w14:paraId="73573749" w14:textId="77777777" w:rsidR="00D52574" w:rsidRPr="00482B1C" w:rsidRDefault="00D52574" w:rsidP="00D52574">
            <w:pPr>
              <w:jc w:val="center"/>
              <w:rPr>
                <w:color w:val="000000"/>
                <w:lang w:val="vi-VN" w:eastAsia="vi-VN"/>
              </w:rPr>
            </w:pPr>
            <w:r w:rsidRPr="00482B1C">
              <w:rPr>
                <w:bCs/>
                <w:color w:val="000000"/>
                <w:lang w:eastAsia="vi-VN"/>
              </w:rPr>
              <w:t>2031</w:t>
            </w:r>
          </w:p>
        </w:tc>
        <w:tc>
          <w:tcPr>
            <w:tcW w:w="3116" w:type="dxa"/>
            <w:vAlign w:val="center"/>
            <w:hideMark/>
          </w:tcPr>
          <w:p w14:paraId="73F0D28B" w14:textId="77777777" w:rsidR="00D52574" w:rsidRPr="00482B1C" w:rsidRDefault="00D52574" w:rsidP="00D52574">
            <w:pPr>
              <w:jc w:val="center"/>
              <w:rPr>
                <w:color w:val="000000"/>
                <w:lang w:val="vi-VN" w:eastAsia="vi-VN"/>
              </w:rPr>
            </w:pPr>
            <w:r w:rsidRPr="00482B1C">
              <w:rPr>
                <w:color w:val="000000"/>
                <w:lang w:val="vi-VN" w:eastAsia="vi-VN"/>
              </w:rPr>
              <w:t>1.750</w:t>
            </w:r>
          </w:p>
        </w:tc>
        <w:tc>
          <w:tcPr>
            <w:tcW w:w="3117" w:type="dxa"/>
            <w:vAlign w:val="center"/>
            <w:hideMark/>
          </w:tcPr>
          <w:p w14:paraId="78CA1567" w14:textId="77777777" w:rsidR="00D52574" w:rsidRPr="00482B1C" w:rsidRDefault="00D52574" w:rsidP="00D52574">
            <w:pPr>
              <w:jc w:val="center"/>
              <w:rPr>
                <w:color w:val="000000"/>
                <w:lang w:val="vi-VN" w:eastAsia="vi-VN"/>
              </w:rPr>
            </w:pPr>
            <w:r w:rsidRPr="00482B1C">
              <w:rPr>
                <w:color w:val="000000"/>
                <w:lang w:val="vi-VN" w:eastAsia="vi-VN"/>
              </w:rPr>
              <w:t>3.500</w:t>
            </w:r>
          </w:p>
        </w:tc>
      </w:tr>
      <w:tr w:rsidR="00D52574" w:rsidRPr="00482B1C" w14:paraId="565AFDC8" w14:textId="77777777" w:rsidTr="00BB2E70">
        <w:trPr>
          <w:trHeight w:val="314"/>
        </w:trPr>
        <w:tc>
          <w:tcPr>
            <w:tcW w:w="2831" w:type="dxa"/>
            <w:vAlign w:val="center"/>
            <w:hideMark/>
          </w:tcPr>
          <w:p w14:paraId="61A563EB" w14:textId="77777777" w:rsidR="00D52574" w:rsidRPr="00482B1C" w:rsidRDefault="00D52574" w:rsidP="00D52574">
            <w:pPr>
              <w:jc w:val="center"/>
              <w:rPr>
                <w:b/>
                <w:bCs/>
                <w:color w:val="000000"/>
                <w:lang w:val="vi-VN" w:eastAsia="vi-VN"/>
              </w:rPr>
            </w:pPr>
            <w:r w:rsidRPr="00482B1C">
              <w:rPr>
                <w:b/>
                <w:bCs/>
                <w:color w:val="000000"/>
                <w:lang w:eastAsia="vi-VN"/>
              </w:rPr>
              <w:t>2026 - 2031</w:t>
            </w:r>
          </w:p>
        </w:tc>
        <w:tc>
          <w:tcPr>
            <w:tcW w:w="3116" w:type="dxa"/>
            <w:vAlign w:val="center"/>
            <w:hideMark/>
          </w:tcPr>
          <w:p w14:paraId="20F71DCB" w14:textId="77777777" w:rsidR="00D52574" w:rsidRPr="00482B1C" w:rsidRDefault="00D52574" w:rsidP="00D52574">
            <w:pPr>
              <w:jc w:val="center"/>
              <w:rPr>
                <w:b/>
                <w:bCs/>
                <w:color w:val="000000"/>
                <w:lang w:val="vi-VN" w:eastAsia="vi-VN"/>
              </w:rPr>
            </w:pPr>
            <w:r w:rsidRPr="00482B1C">
              <w:rPr>
                <w:b/>
                <w:bCs/>
                <w:color w:val="000000"/>
                <w:lang w:eastAsia="vi-VN"/>
              </w:rPr>
              <w:t>10.500</w:t>
            </w:r>
          </w:p>
        </w:tc>
        <w:tc>
          <w:tcPr>
            <w:tcW w:w="3117" w:type="dxa"/>
            <w:vAlign w:val="center"/>
            <w:hideMark/>
          </w:tcPr>
          <w:p w14:paraId="433EAC0B" w14:textId="77777777" w:rsidR="00D52574" w:rsidRPr="00482B1C" w:rsidRDefault="00D52574" w:rsidP="00D52574">
            <w:pPr>
              <w:jc w:val="center"/>
              <w:rPr>
                <w:b/>
                <w:bCs/>
                <w:color w:val="000000"/>
                <w:lang w:val="vi-VN" w:eastAsia="vi-VN"/>
              </w:rPr>
            </w:pPr>
            <w:r w:rsidRPr="00482B1C">
              <w:rPr>
                <w:b/>
                <w:bCs/>
                <w:color w:val="000000"/>
                <w:lang w:eastAsia="vi-VN"/>
              </w:rPr>
              <w:t>17.500</w:t>
            </w:r>
          </w:p>
        </w:tc>
      </w:tr>
    </w:tbl>
    <w:p w14:paraId="45614966" w14:textId="77777777" w:rsidR="00A45408" w:rsidRPr="00482B1C" w:rsidRDefault="00BB2E70" w:rsidP="001B2DC3">
      <w:pPr>
        <w:widowControl w:val="0"/>
        <w:spacing w:before="120" w:after="120" w:line="276" w:lineRule="auto"/>
        <w:ind w:firstLine="426"/>
        <w:jc w:val="both"/>
        <w:rPr>
          <w:bCs/>
          <w:color w:val="000000" w:themeColor="text1"/>
          <w:lang w:val="vi-VN"/>
        </w:rPr>
      </w:pPr>
      <w:r w:rsidRPr="00482B1C">
        <w:rPr>
          <w:bCs/>
          <w:i/>
          <w:iCs/>
          <w:color w:val="000000"/>
          <w:spacing w:val="-8"/>
          <w:lang w:val="vi-VN"/>
        </w:rPr>
        <w:t>Kinh phí chi trả dự kiến mỗi trường hợp trung bình 350 triệu đồng</w:t>
      </w:r>
      <w:r w:rsidR="00435A84" w:rsidRPr="00482B1C">
        <w:rPr>
          <w:bCs/>
          <w:color w:val="000000" w:themeColor="text1"/>
          <w:lang w:val="vi-VN"/>
        </w:rPr>
        <w:t>.</w:t>
      </w:r>
    </w:p>
    <w:p w14:paraId="45DE6EC9" w14:textId="1B6B91FA" w:rsidR="00435A84" w:rsidRPr="005C3A4D" w:rsidRDefault="00A45408" w:rsidP="005C3A4D">
      <w:pPr>
        <w:widowControl w:val="0"/>
        <w:spacing w:before="120" w:after="120" w:line="276" w:lineRule="auto"/>
        <w:ind w:firstLine="426"/>
        <w:jc w:val="both"/>
        <w:rPr>
          <w:bCs/>
          <w:color w:val="000000" w:themeColor="text1"/>
        </w:rPr>
      </w:pPr>
      <w:r w:rsidRPr="00482B1C">
        <w:rPr>
          <w:bCs/>
          <w:color w:val="000000" w:themeColor="text1"/>
          <w:lang w:val="vi-VN"/>
        </w:rPr>
        <w:t xml:space="preserve">Như vậy, dự kiến tổng kinh phí bố trí để thực hiện </w:t>
      </w:r>
      <w:r w:rsidR="00A56D58" w:rsidRPr="00482B1C">
        <w:rPr>
          <w:bCs/>
          <w:color w:val="000000" w:themeColor="text1"/>
          <w:lang w:val="vi-VN"/>
        </w:rPr>
        <w:t>chính sách thu hút, hỗ trợ đào tạo phát triển nguồn nhân lực chất lượng cao của tỉnh Đắk Lắk</w:t>
      </w:r>
      <w:r w:rsidR="00AB32A6" w:rsidRPr="00482B1C">
        <w:rPr>
          <w:bCs/>
          <w:color w:val="000000"/>
          <w:lang w:val="vi-VN"/>
        </w:rPr>
        <w:t xml:space="preserve"> trong giai đoạn 2026 – 2031</w:t>
      </w:r>
      <w:r w:rsidR="00A56D58" w:rsidRPr="00482B1C">
        <w:rPr>
          <w:bCs/>
          <w:color w:val="000000" w:themeColor="text1"/>
          <w:lang w:val="vi-VN"/>
        </w:rPr>
        <w:t xml:space="preserve"> khoảng từ </w:t>
      </w:r>
      <w:r w:rsidR="00A240F9" w:rsidRPr="00482B1C">
        <w:rPr>
          <w:bCs/>
          <w:color w:val="000000"/>
          <w:lang w:val="vi-VN"/>
        </w:rPr>
        <w:t>8</w:t>
      </w:r>
      <w:r w:rsidR="00EA3928" w:rsidRPr="00482B1C">
        <w:rPr>
          <w:bCs/>
          <w:color w:val="000000"/>
          <w:lang w:val="vi-VN"/>
        </w:rPr>
        <w:t>9</w:t>
      </w:r>
      <w:r w:rsidR="00A56D58" w:rsidRPr="00482B1C">
        <w:rPr>
          <w:bCs/>
          <w:color w:val="000000"/>
          <w:lang w:val="vi-VN"/>
        </w:rPr>
        <w:t>.</w:t>
      </w:r>
      <w:r w:rsidR="00A240F9" w:rsidRPr="00482B1C">
        <w:rPr>
          <w:bCs/>
          <w:color w:val="000000"/>
          <w:lang w:val="vi-VN"/>
        </w:rPr>
        <w:t>7</w:t>
      </w:r>
      <w:r w:rsidR="00A56D58" w:rsidRPr="00482B1C">
        <w:rPr>
          <w:bCs/>
          <w:color w:val="000000"/>
          <w:lang w:val="vi-VN"/>
        </w:rPr>
        <w:t xml:space="preserve">00 đến dưới </w:t>
      </w:r>
      <w:r w:rsidR="00EA3928" w:rsidRPr="00482B1C">
        <w:rPr>
          <w:bCs/>
          <w:color w:val="000000"/>
          <w:lang w:val="vi-VN"/>
        </w:rPr>
        <w:t>1</w:t>
      </w:r>
      <w:r w:rsidR="00A240F9" w:rsidRPr="00482B1C">
        <w:rPr>
          <w:bCs/>
          <w:color w:val="000000"/>
          <w:lang w:val="vi-VN"/>
        </w:rPr>
        <w:t>57</w:t>
      </w:r>
      <w:r w:rsidR="00A56D58" w:rsidRPr="00482B1C">
        <w:rPr>
          <w:bCs/>
          <w:color w:val="000000"/>
          <w:lang w:val="vi-VN"/>
        </w:rPr>
        <w:t>.</w:t>
      </w:r>
      <w:r w:rsidR="00A240F9" w:rsidRPr="00482B1C">
        <w:rPr>
          <w:bCs/>
          <w:color w:val="000000"/>
          <w:lang w:val="vi-VN"/>
        </w:rPr>
        <w:t>7</w:t>
      </w:r>
      <w:r w:rsidR="00A56D58" w:rsidRPr="00482B1C">
        <w:rPr>
          <w:bCs/>
          <w:color w:val="000000"/>
          <w:lang w:val="vi-VN"/>
        </w:rPr>
        <w:t>00 triệu đồng</w:t>
      </w:r>
      <w:r w:rsidR="00907EB4" w:rsidRPr="00482B1C">
        <w:rPr>
          <w:bCs/>
          <w:color w:val="000000"/>
          <w:lang w:val="vi-VN"/>
        </w:rPr>
        <w:t>.</w:t>
      </w:r>
      <w:r w:rsidR="00435A84" w:rsidRPr="00482B1C">
        <w:rPr>
          <w:bCs/>
          <w:color w:val="000000" w:themeColor="text1"/>
          <w:lang w:val="vi-VN"/>
        </w:rPr>
        <w:t>/.</w:t>
      </w:r>
    </w:p>
    <w:sectPr w:rsidR="00435A84" w:rsidRPr="005C3A4D" w:rsidSect="00F82368">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2844" w14:textId="77777777" w:rsidR="008352BE" w:rsidRDefault="008352BE" w:rsidP="0017111A">
      <w:r>
        <w:separator/>
      </w:r>
    </w:p>
  </w:endnote>
  <w:endnote w:type="continuationSeparator" w:id="0">
    <w:p w14:paraId="0BA46151" w14:textId="77777777" w:rsidR="008352BE" w:rsidRDefault="008352BE" w:rsidP="0017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C256" w14:textId="77777777" w:rsidR="008352BE" w:rsidRDefault="008352BE" w:rsidP="0017111A">
      <w:r>
        <w:separator/>
      </w:r>
    </w:p>
  </w:footnote>
  <w:footnote w:type="continuationSeparator" w:id="0">
    <w:p w14:paraId="14BA4D59" w14:textId="77777777" w:rsidR="008352BE" w:rsidRDefault="008352BE" w:rsidP="0017111A">
      <w:r>
        <w:continuationSeparator/>
      </w:r>
    </w:p>
  </w:footnote>
  <w:footnote w:id="1">
    <w:p w14:paraId="3EB0B3CB" w14:textId="7270D472" w:rsidR="00435A84" w:rsidRDefault="00435A84" w:rsidP="00435A84">
      <w:pPr>
        <w:pStyle w:val="FootnoteText"/>
        <w:ind w:firstLine="709"/>
        <w:jc w:val="both"/>
      </w:pPr>
      <w:r>
        <w:rPr>
          <w:rStyle w:val="FootnoteReference"/>
        </w:rPr>
        <w:footnoteRef/>
      </w:r>
      <w:r>
        <w:t xml:space="preserve"> M</w:t>
      </w:r>
      <w:r w:rsidRPr="00307609">
        <w:t xml:space="preserve">ức thấp nhất 50 triệu đồng đối với trình độ đại học (tỉnh Bắc Giang) và mức 1,5 tỷ đồng đối với chức danh Giáo sư (Lào Cai, Hưng yên); </w:t>
      </w:r>
      <w:r>
        <w:t>n</w:t>
      </w:r>
      <w:r w:rsidRPr="00307609">
        <w:t>goài ra</w:t>
      </w:r>
      <w:r>
        <w:t>,</w:t>
      </w:r>
      <w:r w:rsidRPr="00307609">
        <w:t xml:space="preserve"> Hà Nội có mức thu hút cao từ 796,5 triệu - 5,31 tỷ đồng</w:t>
      </w:r>
      <w:r>
        <w:t>.</w:t>
      </w:r>
    </w:p>
  </w:footnote>
  <w:footnote w:id="2">
    <w:p w14:paraId="1BEE41CC" w14:textId="77777777" w:rsidR="00435A84" w:rsidRDefault="00435A84" w:rsidP="00435A84">
      <w:pPr>
        <w:pStyle w:val="FootnoteText"/>
        <w:ind w:firstLine="709"/>
        <w:jc w:val="both"/>
      </w:pPr>
      <w:r>
        <w:rPr>
          <w:rStyle w:val="FootnoteReference"/>
        </w:rPr>
        <w:footnoteRef/>
      </w:r>
      <w:r>
        <w:t xml:space="preserve"> M</w:t>
      </w:r>
      <w:r w:rsidRPr="00307609">
        <w:t xml:space="preserve">ức thấp nhất </w:t>
      </w:r>
      <w:r>
        <w:t>4</w:t>
      </w:r>
      <w:r w:rsidRPr="00307609">
        <w:t xml:space="preserve"> triệu đồng (</w:t>
      </w:r>
      <w:r>
        <w:t>Quảng Ninh</w:t>
      </w:r>
      <w:r w:rsidRPr="00307609">
        <w:t>) và mức</w:t>
      </w:r>
      <w:r>
        <w:t xml:space="preserve"> cao</w:t>
      </w:r>
      <w:r w:rsidRPr="00307609">
        <w:t xml:space="preserve"> </w:t>
      </w:r>
      <w:r>
        <w:t>20</w:t>
      </w:r>
      <w:r w:rsidRPr="00307609">
        <w:t xml:space="preserve"> </w:t>
      </w:r>
      <w:r>
        <w:t>triệu</w:t>
      </w:r>
      <w:r w:rsidRPr="00307609">
        <w:t xml:space="preserve"> đồng (</w:t>
      </w:r>
      <w:r>
        <w:t>Đà Nẵng, Hưng Yên</w:t>
      </w:r>
      <w:r w:rsidRPr="00307609">
        <w:t xml:space="preserve">); </w:t>
      </w:r>
      <w:r>
        <w:t>n</w:t>
      </w:r>
      <w:r w:rsidRPr="00307609">
        <w:t>goài ra</w:t>
      </w:r>
      <w:r>
        <w:t>,</w:t>
      </w:r>
      <w:r w:rsidRPr="00307609">
        <w:t xml:space="preserve"> Hà Nội có mức </w:t>
      </w:r>
      <w:r>
        <w:t xml:space="preserve">hỗ trợ thuê nhà cao </w:t>
      </w:r>
      <w:r w:rsidRPr="00307609">
        <w:t xml:space="preserve">từ </w:t>
      </w:r>
      <w:r>
        <w:rPr>
          <w:bCs/>
          <w:color w:val="000000" w:themeColor="text1"/>
        </w:rPr>
        <w:t>21 triệu – 31 triệu</w:t>
      </w:r>
      <w:r w:rsidRPr="00307609">
        <w:t xml:space="preserve"> đồng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33249" w14:textId="77777777" w:rsidR="00410651" w:rsidRDefault="00410651">
    <w:pPr>
      <w:pStyle w:val="Header"/>
      <w:jc w:val="center"/>
    </w:pPr>
    <w:r>
      <w:fldChar w:fldCharType="begin"/>
    </w:r>
    <w:r>
      <w:instrText xml:space="preserve"> PAGE   \* MERGEFORMAT </w:instrText>
    </w:r>
    <w:r>
      <w:fldChar w:fldCharType="separate"/>
    </w:r>
    <w:r w:rsidR="00940C3B">
      <w:rPr>
        <w:noProof/>
      </w:rPr>
      <w:t>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A61"/>
    <w:multiLevelType w:val="multilevel"/>
    <w:tmpl w:val="9BD8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92366"/>
    <w:multiLevelType w:val="multilevel"/>
    <w:tmpl w:val="5D68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21633"/>
    <w:multiLevelType w:val="hybridMultilevel"/>
    <w:tmpl w:val="2190D8F2"/>
    <w:lvl w:ilvl="0" w:tplc="2FDA44D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22A3A"/>
    <w:multiLevelType w:val="hybridMultilevel"/>
    <w:tmpl w:val="F176E3AC"/>
    <w:lvl w:ilvl="0" w:tplc="DF0EB8A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F1E1F89"/>
    <w:multiLevelType w:val="multilevel"/>
    <w:tmpl w:val="1DE0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1F1F7D"/>
    <w:multiLevelType w:val="multilevel"/>
    <w:tmpl w:val="618A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03998"/>
    <w:multiLevelType w:val="multilevel"/>
    <w:tmpl w:val="69241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D094C"/>
    <w:multiLevelType w:val="multilevel"/>
    <w:tmpl w:val="992E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13FC0"/>
    <w:multiLevelType w:val="hybridMultilevel"/>
    <w:tmpl w:val="6B3A0562"/>
    <w:lvl w:ilvl="0" w:tplc="5DEEE8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E5FFD"/>
    <w:multiLevelType w:val="hybridMultilevel"/>
    <w:tmpl w:val="DE2CDF4E"/>
    <w:lvl w:ilvl="0" w:tplc="B33A382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C0C1E08"/>
    <w:multiLevelType w:val="multilevel"/>
    <w:tmpl w:val="C344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F7D46"/>
    <w:multiLevelType w:val="hybridMultilevel"/>
    <w:tmpl w:val="37588028"/>
    <w:lvl w:ilvl="0" w:tplc="5DBC4FA0">
      <w:start w:val="1"/>
      <w:numFmt w:val="decimal"/>
      <w:lvlText w:val="%1"/>
      <w:lvlJc w:val="left"/>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2756"/>
    <w:multiLevelType w:val="hybridMultilevel"/>
    <w:tmpl w:val="19425346"/>
    <w:lvl w:ilvl="0" w:tplc="9F006C8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4951C27"/>
    <w:multiLevelType w:val="hybridMultilevel"/>
    <w:tmpl w:val="FF74B278"/>
    <w:lvl w:ilvl="0" w:tplc="9CE47FE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8D36573"/>
    <w:multiLevelType w:val="hybridMultilevel"/>
    <w:tmpl w:val="7086566E"/>
    <w:lvl w:ilvl="0" w:tplc="7CF0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3A6FD7"/>
    <w:multiLevelType w:val="multilevel"/>
    <w:tmpl w:val="D1D6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766A9"/>
    <w:multiLevelType w:val="hybridMultilevel"/>
    <w:tmpl w:val="1C2E575E"/>
    <w:lvl w:ilvl="0" w:tplc="379A5E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242647"/>
    <w:multiLevelType w:val="hybridMultilevel"/>
    <w:tmpl w:val="03C883E2"/>
    <w:lvl w:ilvl="0" w:tplc="2CD8B8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3E09"/>
    <w:multiLevelType w:val="hybridMultilevel"/>
    <w:tmpl w:val="2BACB53A"/>
    <w:lvl w:ilvl="0" w:tplc="B2D2C14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B40512F"/>
    <w:multiLevelType w:val="hybridMultilevel"/>
    <w:tmpl w:val="98F2EFBA"/>
    <w:lvl w:ilvl="0" w:tplc="50B80A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3D23ED"/>
    <w:multiLevelType w:val="multilevel"/>
    <w:tmpl w:val="083C62A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6B19C7"/>
    <w:multiLevelType w:val="hybridMultilevel"/>
    <w:tmpl w:val="23060616"/>
    <w:lvl w:ilvl="0" w:tplc="37E47B9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15F14AC"/>
    <w:multiLevelType w:val="hybridMultilevel"/>
    <w:tmpl w:val="BE6E0E42"/>
    <w:lvl w:ilvl="0" w:tplc="F4A636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9536FD"/>
    <w:multiLevelType w:val="hybridMultilevel"/>
    <w:tmpl w:val="98D23B1C"/>
    <w:lvl w:ilvl="0" w:tplc="E24AF5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4471C99"/>
    <w:multiLevelType w:val="hybridMultilevel"/>
    <w:tmpl w:val="57106C40"/>
    <w:lvl w:ilvl="0" w:tplc="EF786B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D8410E"/>
    <w:multiLevelType w:val="hybridMultilevel"/>
    <w:tmpl w:val="782EF938"/>
    <w:lvl w:ilvl="0" w:tplc="B6D6CE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9C66C6E"/>
    <w:multiLevelType w:val="hybridMultilevel"/>
    <w:tmpl w:val="87902D58"/>
    <w:lvl w:ilvl="0" w:tplc="C9FA30D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4DCA059F"/>
    <w:multiLevelType w:val="multilevel"/>
    <w:tmpl w:val="C4A8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303F0"/>
    <w:multiLevelType w:val="multilevel"/>
    <w:tmpl w:val="60065732"/>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56E736B3"/>
    <w:multiLevelType w:val="multilevel"/>
    <w:tmpl w:val="7466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7144D"/>
    <w:multiLevelType w:val="hybridMultilevel"/>
    <w:tmpl w:val="9F447642"/>
    <w:lvl w:ilvl="0" w:tplc="DDF00532">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61A78"/>
    <w:multiLevelType w:val="hybridMultilevel"/>
    <w:tmpl w:val="B0485730"/>
    <w:lvl w:ilvl="0" w:tplc="567E7EC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FDB1984"/>
    <w:multiLevelType w:val="hybridMultilevel"/>
    <w:tmpl w:val="F662BF88"/>
    <w:lvl w:ilvl="0" w:tplc="5B8CA6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442DA1"/>
    <w:multiLevelType w:val="multilevel"/>
    <w:tmpl w:val="5AB0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86C67"/>
    <w:multiLevelType w:val="hybridMultilevel"/>
    <w:tmpl w:val="1E760BE2"/>
    <w:lvl w:ilvl="0" w:tplc="4C084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B0317E5"/>
    <w:multiLevelType w:val="hybridMultilevel"/>
    <w:tmpl w:val="CCDA6C14"/>
    <w:lvl w:ilvl="0" w:tplc="E9D08D36">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F3CC1"/>
    <w:multiLevelType w:val="multilevel"/>
    <w:tmpl w:val="EF50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D1323"/>
    <w:multiLevelType w:val="hybridMultilevel"/>
    <w:tmpl w:val="D550FECA"/>
    <w:lvl w:ilvl="0" w:tplc="04090001">
      <w:start w:val="1"/>
      <w:numFmt w:val="bullet"/>
      <w:lvlText w:val=""/>
      <w:lvlJc w:val="left"/>
      <w:pPr>
        <w:ind w:left="1115" w:hanging="360"/>
      </w:pPr>
      <w:rPr>
        <w:rFonts w:ascii="Symbol" w:hAnsi="Symbol" w:hint="default"/>
      </w:rPr>
    </w:lvl>
    <w:lvl w:ilvl="1" w:tplc="04090003" w:tentative="1">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tentative="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tentative="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38" w15:restartNumberingAfterBreak="0">
    <w:nsid w:val="6E882691"/>
    <w:multiLevelType w:val="multilevel"/>
    <w:tmpl w:val="6270F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7F6"/>
    <w:multiLevelType w:val="hybridMultilevel"/>
    <w:tmpl w:val="3FAE4378"/>
    <w:lvl w:ilvl="0" w:tplc="05D40AB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1A05A3"/>
    <w:multiLevelType w:val="hybridMultilevel"/>
    <w:tmpl w:val="D5326A1C"/>
    <w:lvl w:ilvl="0" w:tplc="34C4AB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E469F"/>
    <w:multiLevelType w:val="hybridMultilevel"/>
    <w:tmpl w:val="FAC26B4A"/>
    <w:lvl w:ilvl="0" w:tplc="BCF0F39A">
      <w:start w:val="1"/>
      <w:numFmt w:val="decimal"/>
      <w:lvlText w:val="%1"/>
      <w:lvlJc w:val="center"/>
      <w:pPr>
        <w:ind w:left="75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6A56F4"/>
    <w:multiLevelType w:val="multilevel"/>
    <w:tmpl w:val="542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BF18E8"/>
    <w:multiLevelType w:val="hybridMultilevel"/>
    <w:tmpl w:val="DA64B03C"/>
    <w:lvl w:ilvl="0" w:tplc="8D14DA6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40300667">
    <w:abstractNumId w:val="16"/>
  </w:num>
  <w:num w:numId="2" w16cid:durableId="1608388128">
    <w:abstractNumId w:val="39"/>
  </w:num>
  <w:num w:numId="3" w16cid:durableId="489710658">
    <w:abstractNumId w:val="40"/>
  </w:num>
  <w:num w:numId="4" w16cid:durableId="364791852">
    <w:abstractNumId w:val="35"/>
  </w:num>
  <w:num w:numId="5" w16cid:durableId="332026543">
    <w:abstractNumId w:val="41"/>
  </w:num>
  <w:num w:numId="6" w16cid:durableId="1074157814">
    <w:abstractNumId w:val="19"/>
  </w:num>
  <w:num w:numId="7" w16cid:durableId="243883441">
    <w:abstractNumId w:val="2"/>
  </w:num>
  <w:num w:numId="8" w16cid:durableId="138810004">
    <w:abstractNumId w:val="11"/>
  </w:num>
  <w:num w:numId="9" w16cid:durableId="1823427483">
    <w:abstractNumId w:val="22"/>
  </w:num>
  <w:num w:numId="10" w16cid:durableId="1093359230">
    <w:abstractNumId w:val="8"/>
  </w:num>
  <w:num w:numId="11" w16cid:durableId="1761682278">
    <w:abstractNumId w:val="17"/>
  </w:num>
  <w:num w:numId="12" w16cid:durableId="713770703">
    <w:abstractNumId w:val="24"/>
  </w:num>
  <w:num w:numId="13" w16cid:durableId="1218975517">
    <w:abstractNumId w:val="30"/>
  </w:num>
  <w:num w:numId="14" w16cid:durableId="1656178040">
    <w:abstractNumId w:val="37"/>
  </w:num>
  <w:num w:numId="15" w16cid:durableId="1593123316">
    <w:abstractNumId w:val="14"/>
  </w:num>
  <w:num w:numId="16" w16cid:durableId="1251620074">
    <w:abstractNumId w:val="34"/>
  </w:num>
  <w:num w:numId="17" w16cid:durableId="675808520">
    <w:abstractNumId w:val="12"/>
  </w:num>
  <w:num w:numId="18" w16cid:durableId="772937044">
    <w:abstractNumId w:val="3"/>
  </w:num>
  <w:num w:numId="19" w16cid:durableId="1667631746">
    <w:abstractNumId w:val="28"/>
  </w:num>
  <w:num w:numId="20" w16cid:durableId="1212109630">
    <w:abstractNumId w:val="20"/>
  </w:num>
  <w:num w:numId="21" w16cid:durableId="1070421366">
    <w:abstractNumId w:val="43"/>
  </w:num>
  <w:num w:numId="22" w16cid:durableId="1536231390">
    <w:abstractNumId w:val="23"/>
  </w:num>
  <w:num w:numId="23" w16cid:durableId="277226856">
    <w:abstractNumId w:val="31"/>
  </w:num>
  <w:num w:numId="24" w16cid:durableId="796141857">
    <w:abstractNumId w:val="9"/>
  </w:num>
  <w:num w:numId="25" w16cid:durableId="374044415">
    <w:abstractNumId w:val="38"/>
  </w:num>
  <w:num w:numId="26" w16cid:durableId="2041468703">
    <w:abstractNumId w:val="6"/>
  </w:num>
  <w:num w:numId="27" w16cid:durableId="13000327">
    <w:abstractNumId w:val="7"/>
  </w:num>
  <w:num w:numId="28" w16cid:durableId="422461461">
    <w:abstractNumId w:val="29"/>
  </w:num>
  <w:num w:numId="29" w16cid:durableId="781998182">
    <w:abstractNumId w:val="25"/>
  </w:num>
  <w:num w:numId="30" w16cid:durableId="38015459">
    <w:abstractNumId w:val="18"/>
  </w:num>
  <w:num w:numId="31" w16cid:durableId="1890992834">
    <w:abstractNumId w:val="1"/>
  </w:num>
  <w:num w:numId="32" w16cid:durableId="1482967563">
    <w:abstractNumId w:val="13"/>
  </w:num>
  <w:num w:numId="33" w16cid:durableId="1230265755">
    <w:abstractNumId w:val="27"/>
  </w:num>
  <w:num w:numId="34" w16cid:durableId="1379553752">
    <w:abstractNumId w:val="36"/>
  </w:num>
  <w:num w:numId="35" w16cid:durableId="319041135">
    <w:abstractNumId w:val="5"/>
  </w:num>
  <w:num w:numId="36" w16cid:durableId="237713929">
    <w:abstractNumId w:val="42"/>
  </w:num>
  <w:num w:numId="37" w16cid:durableId="401951347">
    <w:abstractNumId w:val="32"/>
  </w:num>
  <w:num w:numId="38" w16cid:durableId="1385523138">
    <w:abstractNumId w:val="21"/>
  </w:num>
  <w:num w:numId="39" w16cid:durableId="1074427193">
    <w:abstractNumId w:val="4"/>
  </w:num>
  <w:num w:numId="40" w16cid:durableId="1761027081">
    <w:abstractNumId w:val="33"/>
  </w:num>
  <w:num w:numId="41" w16cid:durableId="437332917">
    <w:abstractNumId w:val="15"/>
  </w:num>
  <w:num w:numId="42" w16cid:durableId="137651360">
    <w:abstractNumId w:val="10"/>
  </w:num>
  <w:num w:numId="43" w16cid:durableId="643463460">
    <w:abstractNumId w:val="0"/>
  </w:num>
  <w:num w:numId="44" w16cid:durableId="4949963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1F"/>
    <w:rsid w:val="00000D9B"/>
    <w:rsid w:val="000037A5"/>
    <w:rsid w:val="00004D4B"/>
    <w:rsid w:val="000063A4"/>
    <w:rsid w:val="00006663"/>
    <w:rsid w:val="000069A7"/>
    <w:rsid w:val="000073D0"/>
    <w:rsid w:val="00007482"/>
    <w:rsid w:val="000105FE"/>
    <w:rsid w:val="000108DA"/>
    <w:rsid w:val="000121BB"/>
    <w:rsid w:val="00012235"/>
    <w:rsid w:val="000127A1"/>
    <w:rsid w:val="00012859"/>
    <w:rsid w:val="00014736"/>
    <w:rsid w:val="00014BF2"/>
    <w:rsid w:val="000164A9"/>
    <w:rsid w:val="0001722C"/>
    <w:rsid w:val="00017C29"/>
    <w:rsid w:val="000201BB"/>
    <w:rsid w:val="000241AD"/>
    <w:rsid w:val="00024480"/>
    <w:rsid w:val="00024A02"/>
    <w:rsid w:val="000255BE"/>
    <w:rsid w:val="00025906"/>
    <w:rsid w:val="00026DA1"/>
    <w:rsid w:val="00027015"/>
    <w:rsid w:val="00027C29"/>
    <w:rsid w:val="00027F84"/>
    <w:rsid w:val="000304B6"/>
    <w:rsid w:val="000306C5"/>
    <w:rsid w:val="00031651"/>
    <w:rsid w:val="00032167"/>
    <w:rsid w:val="000362D2"/>
    <w:rsid w:val="000363C4"/>
    <w:rsid w:val="00036997"/>
    <w:rsid w:val="000372FC"/>
    <w:rsid w:val="000378E3"/>
    <w:rsid w:val="00037F78"/>
    <w:rsid w:val="000412CC"/>
    <w:rsid w:val="00042875"/>
    <w:rsid w:val="000431A3"/>
    <w:rsid w:val="000443D3"/>
    <w:rsid w:val="000444D7"/>
    <w:rsid w:val="00047C72"/>
    <w:rsid w:val="00047C87"/>
    <w:rsid w:val="0005015E"/>
    <w:rsid w:val="00050F92"/>
    <w:rsid w:val="0005270B"/>
    <w:rsid w:val="000545FA"/>
    <w:rsid w:val="00054D72"/>
    <w:rsid w:val="000559C1"/>
    <w:rsid w:val="000571D5"/>
    <w:rsid w:val="00057A9A"/>
    <w:rsid w:val="00060CE5"/>
    <w:rsid w:val="00061842"/>
    <w:rsid w:val="00061967"/>
    <w:rsid w:val="00062230"/>
    <w:rsid w:val="00062AAA"/>
    <w:rsid w:val="00062F69"/>
    <w:rsid w:val="00063230"/>
    <w:rsid w:val="0006336C"/>
    <w:rsid w:val="00063577"/>
    <w:rsid w:val="000650D7"/>
    <w:rsid w:val="00067198"/>
    <w:rsid w:val="000679C9"/>
    <w:rsid w:val="000700D1"/>
    <w:rsid w:val="00070DE9"/>
    <w:rsid w:val="00071715"/>
    <w:rsid w:val="0007323F"/>
    <w:rsid w:val="000735EA"/>
    <w:rsid w:val="00074692"/>
    <w:rsid w:val="00074764"/>
    <w:rsid w:val="000801BC"/>
    <w:rsid w:val="00080EC7"/>
    <w:rsid w:val="0008302F"/>
    <w:rsid w:val="00084285"/>
    <w:rsid w:val="00084ACF"/>
    <w:rsid w:val="00084E97"/>
    <w:rsid w:val="0008504B"/>
    <w:rsid w:val="00085523"/>
    <w:rsid w:val="000865F9"/>
    <w:rsid w:val="0008671A"/>
    <w:rsid w:val="00090818"/>
    <w:rsid w:val="0009184D"/>
    <w:rsid w:val="00091E23"/>
    <w:rsid w:val="000927C5"/>
    <w:rsid w:val="00092A99"/>
    <w:rsid w:val="00093B5B"/>
    <w:rsid w:val="00094C27"/>
    <w:rsid w:val="00094E90"/>
    <w:rsid w:val="00095513"/>
    <w:rsid w:val="000956D2"/>
    <w:rsid w:val="0009685E"/>
    <w:rsid w:val="00096AD7"/>
    <w:rsid w:val="000A10A6"/>
    <w:rsid w:val="000A21F0"/>
    <w:rsid w:val="000A2747"/>
    <w:rsid w:val="000A27FD"/>
    <w:rsid w:val="000A29AB"/>
    <w:rsid w:val="000A3933"/>
    <w:rsid w:val="000A75C5"/>
    <w:rsid w:val="000B09F7"/>
    <w:rsid w:val="000B155B"/>
    <w:rsid w:val="000B1602"/>
    <w:rsid w:val="000B1C72"/>
    <w:rsid w:val="000B1DC9"/>
    <w:rsid w:val="000B3492"/>
    <w:rsid w:val="000C027D"/>
    <w:rsid w:val="000C03B7"/>
    <w:rsid w:val="000C1184"/>
    <w:rsid w:val="000C1368"/>
    <w:rsid w:val="000C13CD"/>
    <w:rsid w:val="000C1B23"/>
    <w:rsid w:val="000C2132"/>
    <w:rsid w:val="000C3F5B"/>
    <w:rsid w:val="000C3FE1"/>
    <w:rsid w:val="000C4699"/>
    <w:rsid w:val="000C6C01"/>
    <w:rsid w:val="000C6E1F"/>
    <w:rsid w:val="000C6FC3"/>
    <w:rsid w:val="000C739B"/>
    <w:rsid w:val="000C79CE"/>
    <w:rsid w:val="000D0430"/>
    <w:rsid w:val="000D063E"/>
    <w:rsid w:val="000D2CFD"/>
    <w:rsid w:val="000D369F"/>
    <w:rsid w:val="000D3E9C"/>
    <w:rsid w:val="000D3ED6"/>
    <w:rsid w:val="000D3F19"/>
    <w:rsid w:val="000D6782"/>
    <w:rsid w:val="000E0326"/>
    <w:rsid w:val="000E0D13"/>
    <w:rsid w:val="000E1370"/>
    <w:rsid w:val="000E42AF"/>
    <w:rsid w:val="000E4B05"/>
    <w:rsid w:val="000E4DA3"/>
    <w:rsid w:val="000E4E54"/>
    <w:rsid w:val="000E592A"/>
    <w:rsid w:val="000E6169"/>
    <w:rsid w:val="000E62F6"/>
    <w:rsid w:val="000E6972"/>
    <w:rsid w:val="000E6ADC"/>
    <w:rsid w:val="000F0EBB"/>
    <w:rsid w:val="000F1B26"/>
    <w:rsid w:val="000F238B"/>
    <w:rsid w:val="000F276A"/>
    <w:rsid w:val="000F3A80"/>
    <w:rsid w:val="000F53CB"/>
    <w:rsid w:val="000F53D6"/>
    <w:rsid w:val="000F60A4"/>
    <w:rsid w:val="000F61C1"/>
    <w:rsid w:val="000F61CE"/>
    <w:rsid w:val="000F68A7"/>
    <w:rsid w:val="00100959"/>
    <w:rsid w:val="00100DED"/>
    <w:rsid w:val="001012B6"/>
    <w:rsid w:val="0010767D"/>
    <w:rsid w:val="00107D1F"/>
    <w:rsid w:val="0011041F"/>
    <w:rsid w:val="00110C66"/>
    <w:rsid w:val="00110C67"/>
    <w:rsid w:val="00111511"/>
    <w:rsid w:val="00112B4C"/>
    <w:rsid w:val="0011439B"/>
    <w:rsid w:val="00114B4C"/>
    <w:rsid w:val="00115488"/>
    <w:rsid w:val="001155B8"/>
    <w:rsid w:val="001156C8"/>
    <w:rsid w:val="0012079C"/>
    <w:rsid w:val="001211BF"/>
    <w:rsid w:val="00123BC7"/>
    <w:rsid w:val="00123E09"/>
    <w:rsid w:val="00126388"/>
    <w:rsid w:val="001276FB"/>
    <w:rsid w:val="001277AC"/>
    <w:rsid w:val="001301A9"/>
    <w:rsid w:val="00131899"/>
    <w:rsid w:val="00132E81"/>
    <w:rsid w:val="00133414"/>
    <w:rsid w:val="001334C4"/>
    <w:rsid w:val="00133D8D"/>
    <w:rsid w:val="00137343"/>
    <w:rsid w:val="00145AAB"/>
    <w:rsid w:val="00147484"/>
    <w:rsid w:val="00147A85"/>
    <w:rsid w:val="00147A98"/>
    <w:rsid w:val="00150D5F"/>
    <w:rsid w:val="00150FC5"/>
    <w:rsid w:val="00151E5B"/>
    <w:rsid w:val="0015212F"/>
    <w:rsid w:val="0015215C"/>
    <w:rsid w:val="001526DB"/>
    <w:rsid w:val="001528E2"/>
    <w:rsid w:val="001535A9"/>
    <w:rsid w:val="0015494D"/>
    <w:rsid w:val="00155BDD"/>
    <w:rsid w:val="00155D84"/>
    <w:rsid w:val="00155EDA"/>
    <w:rsid w:val="0015624C"/>
    <w:rsid w:val="0015689B"/>
    <w:rsid w:val="00157296"/>
    <w:rsid w:val="00160362"/>
    <w:rsid w:val="00160752"/>
    <w:rsid w:val="00160F6C"/>
    <w:rsid w:val="00161037"/>
    <w:rsid w:val="001612B4"/>
    <w:rsid w:val="00161F5E"/>
    <w:rsid w:val="00162041"/>
    <w:rsid w:val="001629B5"/>
    <w:rsid w:val="001632B2"/>
    <w:rsid w:val="001632B7"/>
    <w:rsid w:val="00164465"/>
    <w:rsid w:val="00164DBB"/>
    <w:rsid w:val="0016559B"/>
    <w:rsid w:val="0016740C"/>
    <w:rsid w:val="0017016E"/>
    <w:rsid w:val="00170E33"/>
    <w:rsid w:val="0017111A"/>
    <w:rsid w:val="001711BD"/>
    <w:rsid w:val="0017391B"/>
    <w:rsid w:val="00174AE5"/>
    <w:rsid w:val="00176FF7"/>
    <w:rsid w:val="001810BC"/>
    <w:rsid w:val="001814DF"/>
    <w:rsid w:val="00181C85"/>
    <w:rsid w:val="00183697"/>
    <w:rsid w:val="00184104"/>
    <w:rsid w:val="00184C35"/>
    <w:rsid w:val="0018542F"/>
    <w:rsid w:val="0018719A"/>
    <w:rsid w:val="0018769D"/>
    <w:rsid w:val="00191924"/>
    <w:rsid w:val="00191E21"/>
    <w:rsid w:val="00196E10"/>
    <w:rsid w:val="00197C10"/>
    <w:rsid w:val="001A0C1E"/>
    <w:rsid w:val="001A1758"/>
    <w:rsid w:val="001A2201"/>
    <w:rsid w:val="001A2A2B"/>
    <w:rsid w:val="001A3EF2"/>
    <w:rsid w:val="001A47E3"/>
    <w:rsid w:val="001A4E7C"/>
    <w:rsid w:val="001A5C37"/>
    <w:rsid w:val="001A5D81"/>
    <w:rsid w:val="001A5DA5"/>
    <w:rsid w:val="001A62BE"/>
    <w:rsid w:val="001A6DC0"/>
    <w:rsid w:val="001A741E"/>
    <w:rsid w:val="001A7FDC"/>
    <w:rsid w:val="001B010B"/>
    <w:rsid w:val="001B1C4F"/>
    <w:rsid w:val="001B2DC3"/>
    <w:rsid w:val="001B4967"/>
    <w:rsid w:val="001B54AF"/>
    <w:rsid w:val="001B7285"/>
    <w:rsid w:val="001C007E"/>
    <w:rsid w:val="001C02C5"/>
    <w:rsid w:val="001C1FFB"/>
    <w:rsid w:val="001C2907"/>
    <w:rsid w:val="001C5037"/>
    <w:rsid w:val="001C5334"/>
    <w:rsid w:val="001C557D"/>
    <w:rsid w:val="001C5959"/>
    <w:rsid w:val="001C5D98"/>
    <w:rsid w:val="001C7735"/>
    <w:rsid w:val="001D2956"/>
    <w:rsid w:val="001D3A5F"/>
    <w:rsid w:val="001D543B"/>
    <w:rsid w:val="001D642F"/>
    <w:rsid w:val="001D7069"/>
    <w:rsid w:val="001E0DD8"/>
    <w:rsid w:val="001E18AB"/>
    <w:rsid w:val="001E1CB4"/>
    <w:rsid w:val="001E25F5"/>
    <w:rsid w:val="001E2943"/>
    <w:rsid w:val="001E33A0"/>
    <w:rsid w:val="001E35A2"/>
    <w:rsid w:val="001E40C3"/>
    <w:rsid w:val="001E7930"/>
    <w:rsid w:val="001F01CD"/>
    <w:rsid w:val="001F0345"/>
    <w:rsid w:val="001F27F3"/>
    <w:rsid w:val="001F332E"/>
    <w:rsid w:val="001F3995"/>
    <w:rsid w:val="001F4E11"/>
    <w:rsid w:val="001F5FD4"/>
    <w:rsid w:val="001F751A"/>
    <w:rsid w:val="00202AB7"/>
    <w:rsid w:val="00203466"/>
    <w:rsid w:val="0020426C"/>
    <w:rsid w:val="00205254"/>
    <w:rsid w:val="002059A4"/>
    <w:rsid w:val="00205CA9"/>
    <w:rsid w:val="00207F34"/>
    <w:rsid w:val="00210251"/>
    <w:rsid w:val="00210FA3"/>
    <w:rsid w:val="002115DB"/>
    <w:rsid w:val="0021360B"/>
    <w:rsid w:val="00214443"/>
    <w:rsid w:val="002155C9"/>
    <w:rsid w:val="0021661C"/>
    <w:rsid w:val="00216922"/>
    <w:rsid w:val="00217E22"/>
    <w:rsid w:val="002212FE"/>
    <w:rsid w:val="0022147C"/>
    <w:rsid w:val="00221BD9"/>
    <w:rsid w:val="0022209E"/>
    <w:rsid w:val="00222B28"/>
    <w:rsid w:val="00223161"/>
    <w:rsid w:val="00223D1D"/>
    <w:rsid w:val="00223EEC"/>
    <w:rsid w:val="002241F4"/>
    <w:rsid w:val="0022463B"/>
    <w:rsid w:val="002252B0"/>
    <w:rsid w:val="0022557B"/>
    <w:rsid w:val="0022592A"/>
    <w:rsid w:val="002312C7"/>
    <w:rsid w:val="00232AA1"/>
    <w:rsid w:val="00240671"/>
    <w:rsid w:val="00243A04"/>
    <w:rsid w:val="0024451C"/>
    <w:rsid w:val="00245087"/>
    <w:rsid w:val="00245D97"/>
    <w:rsid w:val="00250466"/>
    <w:rsid w:val="002508AC"/>
    <w:rsid w:val="00251991"/>
    <w:rsid w:val="00251AF8"/>
    <w:rsid w:val="00254434"/>
    <w:rsid w:val="00254A9B"/>
    <w:rsid w:val="00256DE3"/>
    <w:rsid w:val="00260022"/>
    <w:rsid w:val="00260239"/>
    <w:rsid w:val="00262101"/>
    <w:rsid w:val="002639AC"/>
    <w:rsid w:val="00264E21"/>
    <w:rsid w:val="00265DE3"/>
    <w:rsid w:val="0026666A"/>
    <w:rsid w:val="00266E58"/>
    <w:rsid w:val="0027061C"/>
    <w:rsid w:val="00272760"/>
    <w:rsid w:val="00273208"/>
    <w:rsid w:val="00273730"/>
    <w:rsid w:val="002738FC"/>
    <w:rsid w:val="002745C9"/>
    <w:rsid w:val="00274C9C"/>
    <w:rsid w:val="00275428"/>
    <w:rsid w:val="00276FB6"/>
    <w:rsid w:val="0027764F"/>
    <w:rsid w:val="002824CC"/>
    <w:rsid w:val="002824FC"/>
    <w:rsid w:val="002852E1"/>
    <w:rsid w:val="00285FD7"/>
    <w:rsid w:val="00290237"/>
    <w:rsid w:val="00291EC1"/>
    <w:rsid w:val="00292C88"/>
    <w:rsid w:val="002966CA"/>
    <w:rsid w:val="00296891"/>
    <w:rsid w:val="00296C43"/>
    <w:rsid w:val="002A02A3"/>
    <w:rsid w:val="002A10D4"/>
    <w:rsid w:val="002A17D0"/>
    <w:rsid w:val="002A26C8"/>
    <w:rsid w:val="002A2D2C"/>
    <w:rsid w:val="002A3D56"/>
    <w:rsid w:val="002A5065"/>
    <w:rsid w:val="002A55D6"/>
    <w:rsid w:val="002A5AE0"/>
    <w:rsid w:val="002A6285"/>
    <w:rsid w:val="002A6B1C"/>
    <w:rsid w:val="002B4717"/>
    <w:rsid w:val="002B5206"/>
    <w:rsid w:val="002B63BC"/>
    <w:rsid w:val="002B63D4"/>
    <w:rsid w:val="002B6AD0"/>
    <w:rsid w:val="002B7560"/>
    <w:rsid w:val="002C0D18"/>
    <w:rsid w:val="002C1501"/>
    <w:rsid w:val="002C166B"/>
    <w:rsid w:val="002C285C"/>
    <w:rsid w:val="002C2F10"/>
    <w:rsid w:val="002C49C8"/>
    <w:rsid w:val="002C63D4"/>
    <w:rsid w:val="002C6B02"/>
    <w:rsid w:val="002C70E3"/>
    <w:rsid w:val="002C77D9"/>
    <w:rsid w:val="002C7D0A"/>
    <w:rsid w:val="002D0AF9"/>
    <w:rsid w:val="002D16C8"/>
    <w:rsid w:val="002D1CF9"/>
    <w:rsid w:val="002D324E"/>
    <w:rsid w:val="002D35A2"/>
    <w:rsid w:val="002D3929"/>
    <w:rsid w:val="002D561E"/>
    <w:rsid w:val="002E0C44"/>
    <w:rsid w:val="002E0F94"/>
    <w:rsid w:val="002E1274"/>
    <w:rsid w:val="002E1854"/>
    <w:rsid w:val="002E1BFF"/>
    <w:rsid w:val="002E1C59"/>
    <w:rsid w:val="002E31FC"/>
    <w:rsid w:val="002E3732"/>
    <w:rsid w:val="002E5092"/>
    <w:rsid w:val="002E53D9"/>
    <w:rsid w:val="002E7913"/>
    <w:rsid w:val="002E7D8D"/>
    <w:rsid w:val="002F1D0B"/>
    <w:rsid w:val="002F24F4"/>
    <w:rsid w:val="002F25E0"/>
    <w:rsid w:val="002F2985"/>
    <w:rsid w:val="002F347C"/>
    <w:rsid w:val="002F34D9"/>
    <w:rsid w:val="002F3765"/>
    <w:rsid w:val="002F380E"/>
    <w:rsid w:val="002F4A73"/>
    <w:rsid w:val="002F4E60"/>
    <w:rsid w:val="002F6E19"/>
    <w:rsid w:val="00301322"/>
    <w:rsid w:val="00301641"/>
    <w:rsid w:val="003022BB"/>
    <w:rsid w:val="00302642"/>
    <w:rsid w:val="00303659"/>
    <w:rsid w:val="003040D5"/>
    <w:rsid w:val="00305CBE"/>
    <w:rsid w:val="00305E07"/>
    <w:rsid w:val="00306717"/>
    <w:rsid w:val="00306B2A"/>
    <w:rsid w:val="003073DF"/>
    <w:rsid w:val="00311496"/>
    <w:rsid w:val="00312033"/>
    <w:rsid w:val="0031224E"/>
    <w:rsid w:val="00312F07"/>
    <w:rsid w:val="003149AA"/>
    <w:rsid w:val="003157B2"/>
    <w:rsid w:val="003157C3"/>
    <w:rsid w:val="00316C70"/>
    <w:rsid w:val="0031736E"/>
    <w:rsid w:val="003174FE"/>
    <w:rsid w:val="00317532"/>
    <w:rsid w:val="0032060E"/>
    <w:rsid w:val="0032247D"/>
    <w:rsid w:val="00322AFD"/>
    <w:rsid w:val="00323120"/>
    <w:rsid w:val="00324386"/>
    <w:rsid w:val="003249EF"/>
    <w:rsid w:val="00325558"/>
    <w:rsid w:val="00325E97"/>
    <w:rsid w:val="003262F8"/>
    <w:rsid w:val="003263C9"/>
    <w:rsid w:val="0032670C"/>
    <w:rsid w:val="00326954"/>
    <w:rsid w:val="00326B06"/>
    <w:rsid w:val="00330167"/>
    <w:rsid w:val="0033049C"/>
    <w:rsid w:val="003311D8"/>
    <w:rsid w:val="00332411"/>
    <w:rsid w:val="00332D74"/>
    <w:rsid w:val="00333176"/>
    <w:rsid w:val="00333E3E"/>
    <w:rsid w:val="0033409E"/>
    <w:rsid w:val="00335D20"/>
    <w:rsid w:val="003376A1"/>
    <w:rsid w:val="00340B55"/>
    <w:rsid w:val="0034200D"/>
    <w:rsid w:val="003420C7"/>
    <w:rsid w:val="0034256B"/>
    <w:rsid w:val="00343375"/>
    <w:rsid w:val="003434A2"/>
    <w:rsid w:val="00344019"/>
    <w:rsid w:val="0034713E"/>
    <w:rsid w:val="00347B4C"/>
    <w:rsid w:val="003500EF"/>
    <w:rsid w:val="00350472"/>
    <w:rsid w:val="00350FC1"/>
    <w:rsid w:val="0035176D"/>
    <w:rsid w:val="00351A07"/>
    <w:rsid w:val="00353D66"/>
    <w:rsid w:val="003545CC"/>
    <w:rsid w:val="00356D6D"/>
    <w:rsid w:val="0036083E"/>
    <w:rsid w:val="00361475"/>
    <w:rsid w:val="003629C2"/>
    <w:rsid w:val="00362CB0"/>
    <w:rsid w:val="00363ECB"/>
    <w:rsid w:val="0036653E"/>
    <w:rsid w:val="003704AD"/>
    <w:rsid w:val="003710C9"/>
    <w:rsid w:val="0037343F"/>
    <w:rsid w:val="003737CF"/>
    <w:rsid w:val="003749D5"/>
    <w:rsid w:val="00375071"/>
    <w:rsid w:val="00375721"/>
    <w:rsid w:val="00375C94"/>
    <w:rsid w:val="00375E86"/>
    <w:rsid w:val="00377421"/>
    <w:rsid w:val="00377B2E"/>
    <w:rsid w:val="00377DC1"/>
    <w:rsid w:val="00381161"/>
    <w:rsid w:val="003813D7"/>
    <w:rsid w:val="00381624"/>
    <w:rsid w:val="00382171"/>
    <w:rsid w:val="003826F6"/>
    <w:rsid w:val="00382CBB"/>
    <w:rsid w:val="003842A7"/>
    <w:rsid w:val="0038457F"/>
    <w:rsid w:val="00385C4C"/>
    <w:rsid w:val="00391757"/>
    <w:rsid w:val="003926DD"/>
    <w:rsid w:val="00393260"/>
    <w:rsid w:val="00393A5E"/>
    <w:rsid w:val="00393F28"/>
    <w:rsid w:val="00395256"/>
    <w:rsid w:val="00396D2E"/>
    <w:rsid w:val="00396D7F"/>
    <w:rsid w:val="0039743C"/>
    <w:rsid w:val="003976F2"/>
    <w:rsid w:val="003A024B"/>
    <w:rsid w:val="003A0841"/>
    <w:rsid w:val="003A0DA3"/>
    <w:rsid w:val="003A114B"/>
    <w:rsid w:val="003A1426"/>
    <w:rsid w:val="003A1711"/>
    <w:rsid w:val="003A1B67"/>
    <w:rsid w:val="003A1FDA"/>
    <w:rsid w:val="003A3DDE"/>
    <w:rsid w:val="003A4547"/>
    <w:rsid w:val="003A4790"/>
    <w:rsid w:val="003A58EF"/>
    <w:rsid w:val="003A59A9"/>
    <w:rsid w:val="003A6588"/>
    <w:rsid w:val="003B006F"/>
    <w:rsid w:val="003B1574"/>
    <w:rsid w:val="003B20F5"/>
    <w:rsid w:val="003B2F89"/>
    <w:rsid w:val="003B5628"/>
    <w:rsid w:val="003B5BFB"/>
    <w:rsid w:val="003B5C34"/>
    <w:rsid w:val="003B781C"/>
    <w:rsid w:val="003C03A8"/>
    <w:rsid w:val="003C0468"/>
    <w:rsid w:val="003C05A6"/>
    <w:rsid w:val="003C0D7B"/>
    <w:rsid w:val="003C21D3"/>
    <w:rsid w:val="003C25A3"/>
    <w:rsid w:val="003C336B"/>
    <w:rsid w:val="003C411C"/>
    <w:rsid w:val="003D09BE"/>
    <w:rsid w:val="003D0CB8"/>
    <w:rsid w:val="003D192C"/>
    <w:rsid w:val="003D1AC4"/>
    <w:rsid w:val="003D2155"/>
    <w:rsid w:val="003D29D0"/>
    <w:rsid w:val="003D29F2"/>
    <w:rsid w:val="003D4C6D"/>
    <w:rsid w:val="003D4D3E"/>
    <w:rsid w:val="003D546C"/>
    <w:rsid w:val="003D607A"/>
    <w:rsid w:val="003D66D1"/>
    <w:rsid w:val="003D6C01"/>
    <w:rsid w:val="003E32AB"/>
    <w:rsid w:val="003E3360"/>
    <w:rsid w:val="003E33D5"/>
    <w:rsid w:val="003E4123"/>
    <w:rsid w:val="003E6D10"/>
    <w:rsid w:val="003F0330"/>
    <w:rsid w:val="003F1446"/>
    <w:rsid w:val="003F1F64"/>
    <w:rsid w:val="003F32D6"/>
    <w:rsid w:val="003F39FC"/>
    <w:rsid w:val="003F5EE1"/>
    <w:rsid w:val="003F6006"/>
    <w:rsid w:val="003F7824"/>
    <w:rsid w:val="00400ABD"/>
    <w:rsid w:val="004024E9"/>
    <w:rsid w:val="00402987"/>
    <w:rsid w:val="00403601"/>
    <w:rsid w:val="00410651"/>
    <w:rsid w:val="00411939"/>
    <w:rsid w:val="00411C2A"/>
    <w:rsid w:val="004122EA"/>
    <w:rsid w:val="004124DD"/>
    <w:rsid w:val="00414AF9"/>
    <w:rsid w:val="0041524E"/>
    <w:rsid w:val="0041578D"/>
    <w:rsid w:val="004169CB"/>
    <w:rsid w:val="00416EF5"/>
    <w:rsid w:val="0042043F"/>
    <w:rsid w:val="00421E73"/>
    <w:rsid w:val="0042397F"/>
    <w:rsid w:val="004239EF"/>
    <w:rsid w:val="00423EED"/>
    <w:rsid w:val="00424836"/>
    <w:rsid w:val="004250DD"/>
    <w:rsid w:val="0042519F"/>
    <w:rsid w:val="0042632C"/>
    <w:rsid w:val="00427212"/>
    <w:rsid w:val="00427BD7"/>
    <w:rsid w:val="00427D02"/>
    <w:rsid w:val="00431E5E"/>
    <w:rsid w:val="00432428"/>
    <w:rsid w:val="004330AF"/>
    <w:rsid w:val="00433808"/>
    <w:rsid w:val="00433D6D"/>
    <w:rsid w:val="00434D8C"/>
    <w:rsid w:val="00435A84"/>
    <w:rsid w:val="00436EEA"/>
    <w:rsid w:val="00437920"/>
    <w:rsid w:val="00441394"/>
    <w:rsid w:val="00441E4A"/>
    <w:rsid w:val="00442DC3"/>
    <w:rsid w:val="00443793"/>
    <w:rsid w:val="004437AF"/>
    <w:rsid w:val="00443927"/>
    <w:rsid w:val="00443CD6"/>
    <w:rsid w:val="004471CB"/>
    <w:rsid w:val="00447BC4"/>
    <w:rsid w:val="004522FA"/>
    <w:rsid w:val="004528D6"/>
    <w:rsid w:val="004536AB"/>
    <w:rsid w:val="004543CF"/>
    <w:rsid w:val="0045568F"/>
    <w:rsid w:val="004563D7"/>
    <w:rsid w:val="0045689B"/>
    <w:rsid w:val="004571E5"/>
    <w:rsid w:val="00457C2A"/>
    <w:rsid w:val="004632FC"/>
    <w:rsid w:val="004633D3"/>
    <w:rsid w:val="0046404C"/>
    <w:rsid w:val="00465420"/>
    <w:rsid w:val="00465FAD"/>
    <w:rsid w:val="0046636D"/>
    <w:rsid w:val="00466632"/>
    <w:rsid w:val="00467F11"/>
    <w:rsid w:val="00470166"/>
    <w:rsid w:val="00470B29"/>
    <w:rsid w:val="00471890"/>
    <w:rsid w:val="00471BE2"/>
    <w:rsid w:val="00473F25"/>
    <w:rsid w:val="00473FC2"/>
    <w:rsid w:val="00476C82"/>
    <w:rsid w:val="00476F39"/>
    <w:rsid w:val="00481727"/>
    <w:rsid w:val="00481E3A"/>
    <w:rsid w:val="00482B1C"/>
    <w:rsid w:val="004840C3"/>
    <w:rsid w:val="00484B28"/>
    <w:rsid w:val="00486456"/>
    <w:rsid w:val="00486FF4"/>
    <w:rsid w:val="00487069"/>
    <w:rsid w:val="0048754F"/>
    <w:rsid w:val="00490694"/>
    <w:rsid w:val="00490CEB"/>
    <w:rsid w:val="00490D07"/>
    <w:rsid w:val="004919FB"/>
    <w:rsid w:val="00492CB4"/>
    <w:rsid w:val="004934E3"/>
    <w:rsid w:val="0049371A"/>
    <w:rsid w:val="00494555"/>
    <w:rsid w:val="004948AC"/>
    <w:rsid w:val="00494ABA"/>
    <w:rsid w:val="0049653F"/>
    <w:rsid w:val="004A0294"/>
    <w:rsid w:val="004A0604"/>
    <w:rsid w:val="004A23D9"/>
    <w:rsid w:val="004A38D7"/>
    <w:rsid w:val="004A4414"/>
    <w:rsid w:val="004A4566"/>
    <w:rsid w:val="004A5600"/>
    <w:rsid w:val="004A582E"/>
    <w:rsid w:val="004A6759"/>
    <w:rsid w:val="004B0AF2"/>
    <w:rsid w:val="004B2D04"/>
    <w:rsid w:val="004B3933"/>
    <w:rsid w:val="004B52DA"/>
    <w:rsid w:val="004B7066"/>
    <w:rsid w:val="004B75A8"/>
    <w:rsid w:val="004B7662"/>
    <w:rsid w:val="004C190D"/>
    <w:rsid w:val="004C3038"/>
    <w:rsid w:val="004C4100"/>
    <w:rsid w:val="004C56A7"/>
    <w:rsid w:val="004C6734"/>
    <w:rsid w:val="004D1711"/>
    <w:rsid w:val="004D1AFE"/>
    <w:rsid w:val="004D1CCA"/>
    <w:rsid w:val="004D1D0B"/>
    <w:rsid w:val="004D3DBB"/>
    <w:rsid w:val="004D4825"/>
    <w:rsid w:val="004D482E"/>
    <w:rsid w:val="004D5942"/>
    <w:rsid w:val="004E0408"/>
    <w:rsid w:val="004E0852"/>
    <w:rsid w:val="004E0F91"/>
    <w:rsid w:val="004E1016"/>
    <w:rsid w:val="004E2D38"/>
    <w:rsid w:val="004E3D0B"/>
    <w:rsid w:val="004E4809"/>
    <w:rsid w:val="004E590F"/>
    <w:rsid w:val="004E5AB3"/>
    <w:rsid w:val="004E5F10"/>
    <w:rsid w:val="004E7A8B"/>
    <w:rsid w:val="004E7E33"/>
    <w:rsid w:val="004F014E"/>
    <w:rsid w:val="004F0AA6"/>
    <w:rsid w:val="004F0C4A"/>
    <w:rsid w:val="004F2FAB"/>
    <w:rsid w:val="004F32FE"/>
    <w:rsid w:val="004F4B1A"/>
    <w:rsid w:val="005007DF"/>
    <w:rsid w:val="00501155"/>
    <w:rsid w:val="00501438"/>
    <w:rsid w:val="00501D8C"/>
    <w:rsid w:val="0050249E"/>
    <w:rsid w:val="005024CD"/>
    <w:rsid w:val="00502BA9"/>
    <w:rsid w:val="005037CD"/>
    <w:rsid w:val="0050471A"/>
    <w:rsid w:val="0050646C"/>
    <w:rsid w:val="00506ACD"/>
    <w:rsid w:val="005108A2"/>
    <w:rsid w:val="00514467"/>
    <w:rsid w:val="00514873"/>
    <w:rsid w:val="00514A37"/>
    <w:rsid w:val="005153B4"/>
    <w:rsid w:val="00516901"/>
    <w:rsid w:val="00517AF1"/>
    <w:rsid w:val="00520072"/>
    <w:rsid w:val="00520A0D"/>
    <w:rsid w:val="00520D44"/>
    <w:rsid w:val="00520E62"/>
    <w:rsid w:val="00521098"/>
    <w:rsid w:val="005240C0"/>
    <w:rsid w:val="00525130"/>
    <w:rsid w:val="00525D4E"/>
    <w:rsid w:val="00527D12"/>
    <w:rsid w:val="00530E7C"/>
    <w:rsid w:val="0053325D"/>
    <w:rsid w:val="005336F9"/>
    <w:rsid w:val="00534B49"/>
    <w:rsid w:val="00537898"/>
    <w:rsid w:val="00540D04"/>
    <w:rsid w:val="00541FDF"/>
    <w:rsid w:val="00542211"/>
    <w:rsid w:val="005436F8"/>
    <w:rsid w:val="00544973"/>
    <w:rsid w:val="00544E67"/>
    <w:rsid w:val="00546563"/>
    <w:rsid w:val="00546A17"/>
    <w:rsid w:val="00547272"/>
    <w:rsid w:val="00547D3E"/>
    <w:rsid w:val="00551FC4"/>
    <w:rsid w:val="005533A9"/>
    <w:rsid w:val="00553EBD"/>
    <w:rsid w:val="0055588E"/>
    <w:rsid w:val="005560DA"/>
    <w:rsid w:val="00556443"/>
    <w:rsid w:val="00556FEA"/>
    <w:rsid w:val="005614EE"/>
    <w:rsid w:val="00564FAA"/>
    <w:rsid w:val="0056573F"/>
    <w:rsid w:val="00565D5E"/>
    <w:rsid w:val="0056689E"/>
    <w:rsid w:val="00570790"/>
    <w:rsid w:val="00570FA1"/>
    <w:rsid w:val="0057311F"/>
    <w:rsid w:val="0057386A"/>
    <w:rsid w:val="00573D9D"/>
    <w:rsid w:val="00573E6F"/>
    <w:rsid w:val="00573E9C"/>
    <w:rsid w:val="005749BC"/>
    <w:rsid w:val="00574E11"/>
    <w:rsid w:val="00576716"/>
    <w:rsid w:val="005777B1"/>
    <w:rsid w:val="00577A0F"/>
    <w:rsid w:val="00580838"/>
    <w:rsid w:val="00580933"/>
    <w:rsid w:val="00582333"/>
    <w:rsid w:val="00583666"/>
    <w:rsid w:val="00583A06"/>
    <w:rsid w:val="00584008"/>
    <w:rsid w:val="0058431D"/>
    <w:rsid w:val="005872A1"/>
    <w:rsid w:val="00587FBA"/>
    <w:rsid w:val="00590B77"/>
    <w:rsid w:val="005912DE"/>
    <w:rsid w:val="00591B08"/>
    <w:rsid w:val="005937B6"/>
    <w:rsid w:val="00593A97"/>
    <w:rsid w:val="00594243"/>
    <w:rsid w:val="005944DA"/>
    <w:rsid w:val="00594CAF"/>
    <w:rsid w:val="00595D9C"/>
    <w:rsid w:val="00596259"/>
    <w:rsid w:val="0059657C"/>
    <w:rsid w:val="0059689B"/>
    <w:rsid w:val="00597706"/>
    <w:rsid w:val="005A3BF6"/>
    <w:rsid w:val="005A4533"/>
    <w:rsid w:val="005A4537"/>
    <w:rsid w:val="005A4D39"/>
    <w:rsid w:val="005A4E83"/>
    <w:rsid w:val="005A5E52"/>
    <w:rsid w:val="005A6B15"/>
    <w:rsid w:val="005A72F2"/>
    <w:rsid w:val="005A76A4"/>
    <w:rsid w:val="005A7F9C"/>
    <w:rsid w:val="005B14FF"/>
    <w:rsid w:val="005B181A"/>
    <w:rsid w:val="005B1DF7"/>
    <w:rsid w:val="005B2348"/>
    <w:rsid w:val="005B490D"/>
    <w:rsid w:val="005B5473"/>
    <w:rsid w:val="005C11CB"/>
    <w:rsid w:val="005C2514"/>
    <w:rsid w:val="005C2D06"/>
    <w:rsid w:val="005C36BF"/>
    <w:rsid w:val="005C3A4D"/>
    <w:rsid w:val="005C3A85"/>
    <w:rsid w:val="005C3CC2"/>
    <w:rsid w:val="005C446D"/>
    <w:rsid w:val="005C52C0"/>
    <w:rsid w:val="005D0122"/>
    <w:rsid w:val="005D26D4"/>
    <w:rsid w:val="005D3582"/>
    <w:rsid w:val="005D4511"/>
    <w:rsid w:val="005D4ABC"/>
    <w:rsid w:val="005D56C3"/>
    <w:rsid w:val="005D7340"/>
    <w:rsid w:val="005E0B71"/>
    <w:rsid w:val="005E120C"/>
    <w:rsid w:val="005E12BF"/>
    <w:rsid w:val="005E2645"/>
    <w:rsid w:val="005E2E78"/>
    <w:rsid w:val="005E40F5"/>
    <w:rsid w:val="005E48FF"/>
    <w:rsid w:val="005E7A38"/>
    <w:rsid w:val="005E7B0B"/>
    <w:rsid w:val="005F01F5"/>
    <w:rsid w:val="005F20C5"/>
    <w:rsid w:val="005F374F"/>
    <w:rsid w:val="005F46D2"/>
    <w:rsid w:val="005F47E6"/>
    <w:rsid w:val="005F5C5B"/>
    <w:rsid w:val="005F618A"/>
    <w:rsid w:val="005F61C7"/>
    <w:rsid w:val="005F765A"/>
    <w:rsid w:val="005F7705"/>
    <w:rsid w:val="00603843"/>
    <w:rsid w:val="0060388B"/>
    <w:rsid w:val="00604995"/>
    <w:rsid w:val="00606B6D"/>
    <w:rsid w:val="00607B83"/>
    <w:rsid w:val="0061031B"/>
    <w:rsid w:val="0061090A"/>
    <w:rsid w:val="0061126E"/>
    <w:rsid w:val="006113C9"/>
    <w:rsid w:val="0061344A"/>
    <w:rsid w:val="00613DC8"/>
    <w:rsid w:val="0061410C"/>
    <w:rsid w:val="00614618"/>
    <w:rsid w:val="006153AA"/>
    <w:rsid w:val="00616044"/>
    <w:rsid w:val="006170F1"/>
    <w:rsid w:val="00620DA7"/>
    <w:rsid w:val="00621081"/>
    <w:rsid w:val="0062215B"/>
    <w:rsid w:val="0062499D"/>
    <w:rsid w:val="00625E83"/>
    <w:rsid w:val="0062680F"/>
    <w:rsid w:val="00627F96"/>
    <w:rsid w:val="00630C04"/>
    <w:rsid w:val="00631382"/>
    <w:rsid w:val="0063170A"/>
    <w:rsid w:val="00631CC8"/>
    <w:rsid w:val="0063213E"/>
    <w:rsid w:val="00632DD2"/>
    <w:rsid w:val="00633D65"/>
    <w:rsid w:val="006349F2"/>
    <w:rsid w:val="006353F7"/>
    <w:rsid w:val="00637397"/>
    <w:rsid w:val="00637FC2"/>
    <w:rsid w:val="00640B48"/>
    <w:rsid w:val="00641123"/>
    <w:rsid w:val="0064379F"/>
    <w:rsid w:val="006450AB"/>
    <w:rsid w:val="00645199"/>
    <w:rsid w:val="00645BDC"/>
    <w:rsid w:val="00646EAF"/>
    <w:rsid w:val="00647532"/>
    <w:rsid w:val="00651C64"/>
    <w:rsid w:val="00654327"/>
    <w:rsid w:val="00654378"/>
    <w:rsid w:val="00654949"/>
    <w:rsid w:val="00654BF8"/>
    <w:rsid w:val="0065530C"/>
    <w:rsid w:val="0065659B"/>
    <w:rsid w:val="006577D0"/>
    <w:rsid w:val="00663BC7"/>
    <w:rsid w:val="00665A5F"/>
    <w:rsid w:val="0066652C"/>
    <w:rsid w:val="00666F8B"/>
    <w:rsid w:val="00667232"/>
    <w:rsid w:val="00667E95"/>
    <w:rsid w:val="00670720"/>
    <w:rsid w:val="00671C9E"/>
    <w:rsid w:val="00671F4A"/>
    <w:rsid w:val="00671FD0"/>
    <w:rsid w:val="00673589"/>
    <w:rsid w:val="00673CBD"/>
    <w:rsid w:val="00674858"/>
    <w:rsid w:val="0067511D"/>
    <w:rsid w:val="006754C0"/>
    <w:rsid w:val="00675DA7"/>
    <w:rsid w:val="00676ED9"/>
    <w:rsid w:val="006774BF"/>
    <w:rsid w:val="0067760B"/>
    <w:rsid w:val="00677882"/>
    <w:rsid w:val="00677E71"/>
    <w:rsid w:val="00680715"/>
    <w:rsid w:val="00680EC4"/>
    <w:rsid w:val="006831FD"/>
    <w:rsid w:val="00683F00"/>
    <w:rsid w:val="006856D8"/>
    <w:rsid w:val="00685C84"/>
    <w:rsid w:val="00687186"/>
    <w:rsid w:val="0069199F"/>
    <w:rsid w:val="0069219E"/>
    <w:rsid w:val="006924EA"/>
    <w:rsid w:val="006925A3"/>
    <w:rsid w:val="00692C83"/>
    <w:rsid w:val="0069323D"/>
    <w:rsid w:val="00694076"/>
    <w:rsid w:val="00694CD3"/>
    <w:rsid w:val="0069506E"/>
    <w:rsid w:val="00696CE8"/>
    <w:rsid w:val="006A0E82"/>
    <w:rsid w:val="006A1A9C"/>
    <w:rsid w:val="006A22EC"/>
    <w:rsid w:val="006A3099"/>
    <w:rsid w:val="006A3290"/>
    <w:rsid w:val="006A3300"/>
    <w:rsid w:val="006A3C26"/>
    <w:rsid w:val="006A49B2"/>
    <w:rsid w:val="006A51A9"/>
    <w:rsid w:val="006A6A9C"/>
    <w:rsid w:val="006A6BA4"/>
    <w:rsid w:val="006B0A1C"/>
    <w:rsid w:val="006B11F5"/>
    <w:rsid w:val="006B1468"/>
    <w:rsid w:val="006B1637"/>
    <w:rsid w:val="006B1B1F"/>
    <w:rsid w:val="006B1CDE"/>
    <w:rsid w:val="006B1DFC"/>
    <w:rsid w:val="006B3CD6"/>
    <w:rsid w:val="006B59C0"/>
    <w:rsid w:val="006B7020"/>
    <w:rsid w:val="006B71DA"/>
    <w:rsid w:val="006B7DDF"/>
    <w:rsid w:val="006C0E68"/>
    <w:rsid w:val="006C2B07"/>
    <w:rsid w:val="006C2B5C"/>
    <w:rsid w:val="006C2D71"/>
    <w:rsid w:val="006C2F0E"/>
    <w:rsid w:val="006C324D"/>
    <w:rsid w:val="006C3469"/>
    <w:rsid w:val="006C4215"/>
    <w:rsid w:val="006C4D77"/>
    <w:rsid w:val="006C5A0C"/>
    <w:rsid w:val="006C5D74"/>
    <w:rsid w:val="006C6E89"/>
    <w:rsid w:val="006C7623"/>
    <w:rsid w:val="006C7793"/>
    <w:rsid w:val="006C7AFE"/>
    <w:rsid w:val="006C7DAF"/>
    <w:rsid w:val="006D0161"/>
    <w:rsid w:val="006D0523"/>
    <w:rsid w:val="006D0A2C"/>
    <w:rsid w:val="006D0AAE"/>
    <w:rsid w:val="006D108E"/>
    <w:rsid w:val="006D1CF4"/>
    <w:rsid w:val="006D2A90"/>
    <w:rsid w:val="006D3004"/>
    <w:rsid w:val="006D77D3"/>
    <w:rsid w:val="006D78AC"/>
    <w:rsid w:val="006E003F"/>
    <w:rsid w:val="006E68FB"/>
    <w:rsid w:val="006E77F2"/>
    <w:rsid w:val="006E7EDA"/>
    <w:rsid w:val="006F024D"/>
    <w:rsid w:val="006F0ADA"/>
    <w:rsid w:val="006F11AF"/>
    <w:rsid w:val="006F23C5"/>
    <w:rsid w:val="006F24B9"/>
    <w:rsid w:val="006F2CAD"/>
    <w:rsid w:val="006F3FD1"/>
    <w:rsid w:val="006F4DDF"/>
    <w:rsid w:val="006F6954"/>
    <w:rsid w:val="006F7C66"/>
    <w:rsid w:val="007003B1"/>
    <w:rsid w:val="00700544"/>
    <w:rsid w:val="007008A2"/>
    <w:rsid w:val="007017EC"/>
    <w:rsid w:val="00701831"/>
    <w:rsid w:val="00702E70"/>
    <w:rsid w:val="00702ED4"/>
    <w:rsid w:val="00703634"/>
    <w:rsid w:val="007037F9"/>
    <w:rsid w:val="00704A7E"/>
    <w:rsid w:val="007058BB"/>
    <w:rsid w:val="0070598D"/>
    <w:rsid w:val="007060C2"/>
    <w:rsid w:val="007061A9"/>
    <w:rsid w:val="00706D2E"/>
    <w:rsid w:val="00713E10"/>
    <w:rsid w:val="007152D7"/>
    <w:rsid w:val="00715C30"/>
    <w:rsid w:val="00715F18"/>
    <w:rsid w:val="00717DD8"/>
    <w:rsid w:val="0072078D"/>
    <w:rsid w:val="00720915"/>
    <w:rsid w:val="00720F85"/>
    <w:rsid w:val="00722C2E"/>
    <w:rsid w:val="00722D18"/>
    <w:rsid w:val="00722F28"/>
    <w:rsid w:val="007258CD"/>
    <w:rsid w:val="0072656B"/>
    <w:rsid w:val="00726FFA"/>
    <w:rsid w:val="00730AF9"/>
    <w:rsid w:val="00733C01"/>
    <w:rsid w:val="00733C9E"/>
    <w:rsid w:val="0073488A"/>
    <w:rsid w:val="007356D5"/>
    <w:rsid w:val="00735AF0"/>
    <w:rsid w:val="007365F4"/>
    <w:rsid w:val="00736D34"/>
    <w:rsid w:val="007412DC"/>
    <w:rsid w:val="00741DF4"/>
    <w:rsid w:val="00742135"/>
    <w:rsid w:val="00743307"/>
    <w:rsid w:val="00744395"/>
    <w:rsid w:val="007451E9"/>
    <w:rsid w:val="00745CFC"/>
    <w:rsid w:val="00750009"/>
    <w:rsid w:val="00751F02"/>
    <w:rsid w:val="007523C3"/>
    <w:rsid w:val="00752859"/>
    <w:rsid w:val="007543A5"/>
    <w:rsid w:val="00754DFC"/>
    <w:rsid w:val="00757844"/>
    <w:rsid w:val="007601EA"/>
    <w:rsid w:val="007604E1"/>
    <w:rsid w:val="00761691"/>
    <w:rsid w:val="0076547A"/>
    <w:rsid w:val="00770101"/>
    <w:rsid w:val="00770B23"/>
    <w:rsid w:val="00772D4B"/>
    <w:rsid w:val="00774ED4"/>
    <w:rsid w:val="00775925"/>
    <w:rsid w:val="007759D8"/>
    <w:rsid w:val="00775B92"/>
    <w:rsid w:val="007801A3"/>
    <w:rsid w:val="007809BE"/>
    <w:rsid w:val="007809E8"/>
    <w:rsid w:val="00780DDA"/>
    <w:rsid w:val="0078118D"/>
    <w:rsid w:val="0078145E"/>
    <w:rsid w:val="007814B8"/>
    <w:rsid w:val="00782408"/>
    <w:rsid w:val="0078311E"/>
    <w:rsid w:val="007838A5"/>
    <w:rsid w:val="007842F4"/>
    <w:rsid w:val="00784685"/>
    <w:rsid w:val="00785188"/>
    <w:rsid w:val="0078544B"/>
    <w:rsid w:val="00785701"/>
    <w:rsid w:val="007864A6"/>
    <w:rsid w:val="00786B18"/>
    <w:rsid w:val="007871B0"/>
    <w:rsid w:val="007909B4"/>
    <w:rsid w:val="00790DE0"/>
    <w:rsid w:val="00792CB4"/>
    <w:rsid w:val="007940D8"/>
    <w:rsid w:val="00794100"/>
    <w:rsid w:val="00797ACB"/>
    <w:rsid w:val="00797D8C"/>
    <w:rsid w:val="007A024D"/>
    <w:rsid w:val="007A085A"/>
    <w:rsid w:val="007A112F"/>
    <w:rsid w:val="007A17F7"/>
    <w:rsid w:val="007A23EF"/>
    <w:rsid w:val="007A2B80"/>
    <w:rsid w:val="007A3611"/>
    <w:rsid w:val="007A3B28"/>
    <w:rsid w:val="007A3D39"/>
    <w:rsid w:val="007A3DE5"/>
    <w:rsid w:val="007A42C0"/>
    <w:rsid w:val="007A448D"/>
    <w:rsid w:val="007A49F8"/>
    <w:rsid w:val="007A7822"/>
    <w:rsid w:val="007B0423"/>
    <w:rsid w:val="007B09D9"/>
    <w:rsid w:val="007B113C"/>
    <w:rsid w:val="007B18AB"/>
    <w:rsid w:val="007B1F6F"/>
    <w:rsid w:val="007B2915"/>
    <w:rsid w:val="007B2923"/>
    <w:rsid w:val="007B2986"/>
    <w:rsid w:val="007B4796"/>
    <w:rsid w:val="007B6137"/>
    <w:rsid w:val="007B7B79"/>
    <w:rsid w:val="007C0751"/>
    <w:rsid w:val="007C0C8D"/>
    <w:rsid w:val="007C133B"/>
    <w:rsid w:val="007C1560"/>
    <w:rsid w:val="007C1CD7"/>
    <w:rsid w:val="007C1DD8"/>
    <w:rsid w:val="007C27DC"/>
    <w:rsid w:val="007C342C"/>
    <w:rsid w:val="007C5D1C"/>
    <w:rsid w:val="007C6182"/>
    <w:rsid w:val="007C63F6"/>
    <w:rsid w:val="007C6C07"/>
    <w:rsid w:val="007C6E18"/>
    <w:rsid w:val="007D00A3"/>
    <w:rsid w:val="007D1D50"/>
    <w:rsid w:val="007D1F4D"/>
    <w:rsid w:val="007D31B5"/>
    <w:rsid w:val="007D3236"/>
    <w:rsid w:val="007D339C"/>
    <w:rsid w:val="007D3820"/>
    <w:rsid w:val="007D46E1"/>
    <w:rsid w:val="007D5315"/>
    <w:rsid w:val="007D53D8"/>
    <w:rsid w:val="007D74D5"/>
    <w:rsid w:val="007E2214"/>
    <w:rsid w:val="007E29D2"/>
    <w:rsid w:val="007E2AA2"/>
    <w:rsid w:val="007E34C7"/>
    <w:rsid w:val="007E50CC"/>
    <w:rsid w:val="007E5926"/>
    <w:rsid w:val="007E5AF9"/>
    <w:rsid w:val="007E5E74"/>
    <w:rsid w:val="007E6919"/>
    <w:rsid w:val="007E6CA5"/>
    <w:rsid w:val="007E7792"/>
    <w:rsid w:val="007F03E0"/>
    <w:rsid w:val="007F06BD"/>
    <w:rsid w:val="007F1B5F"/>
    <w:rsid w:val="007F446F"/>
    <w:rsid w:val="007F49C3"/>
    <w:rsid w:val="007F4AC3"/>
    <w:rsid w:val="007F4B6F"/>
    <w:rsid w:val="007F4C0E"/>
    <w:rsid w:val="007F4DE8"/>
    <w:rsid w:val="007F5043"/>
    <w:rsid w:val="007F59F6"/>
    <w:rsid w:val="007F60C7"/>
    <w:rsid w:val="007F6B5A"/>
    <w:rsid w:val="007F6F22"/>
    <w:rsid w:val="007F7ADF"/>
    <w:rsid w:val="00800FA9"/>
    <w:rsid w:val="00802E3D"/>
    <w:rsid w:val="008033DF"/>
    <w:rsid w:val="00804C53"/>
    <w:rsid w:val="00805E09"/>
    <w:rsid w:val="00806831"/>
    <w:rsid w:val="00807D2C"/>
    <w:rsid w:val="0081370A"/>
    <w:rsid w:val="0081466D"/>
    <w:rsid w:val="008156E7"/>
    <w:rsid w:val="00815A10"/>
    <w:rsid w:val="00815C9D"/>
    <w:rsid w:val="00815D14"/>
    <w:rsid w:val="00817ADF"/>
    <w:rsid w:val="00817E31"/>
    <w:rsid w:val="00820BEC"/>
    <w:rsid w:val="0082276F"/>
    <w:rsid w:val="0082288F"/>
    <w:rsid w:val="00822EF0"/>
    <w:rsid w:val="008240EC"/>
    <w:rsid w:val="00824966"/>
    <w:rsid w:val="00824DA1"/>
    <w:rsid w:val="00824F99"/>
    <w:rsid w:val="00825112"/>
    <w:rsid w:val="008258D0"/>
    <w:rsid w:val="00825F8D"/>
    <w:rsid w:val="00830A38"/>
    <w:rsid w:val="008312CE"/>
    <w:rsid w:val="008326D6"/>
    <w:rsid w:val="00832E95"/>
    <w:rsid w:val="008348B0"/>
    <w:rsid w:val="008352BE"/>
    <w:rsid w:val="00841F85"/>
    <w:rsid w:val="00843962"/>
    <w:rsid w:val="00844852"/>
    <w:rsid w:val="00844F45"/>
    <w:rsid w:val="008453E2"/>
    <w:rsid w:val="008461F3"/>
    <w:rsid w:val="00846979"/>
    <w:rsid w:val="008471AB"/>
    <w:rsid w:val="00847E15"/>
    <w:rsid w:val="008511B8"/>
    <w:rsid w:val="00851282"/>
    <w:rsid w:val="00851801"/>
    <w:rsid w:val="00851D0E"/>
    <w:rsid w:val="00854C19"/>
    <w:rsid w:val="0085658F"/>
    <w:rsid w:val="0085796E"/>
    <w:rsid w:val="00860509"/>
    <w:rsid w:val="00860BD7"/>
    <w:rsid w:val="00860FB4"/>
    <w:rsid w:val="00862B67"/>
    <w:rsid w:val="00865296"/>
    <w:rsid w:val="00865E2C"/>
    <w:rsid w:val="00865ED0"/>
    <w:rsid w:val="00870E3A"/>
    <w:rsid w:val="00870E9E"/>
    <w:rsid w:val="0087287D"/>
    <w:rsid w:val="00874F2E"/>
    <w:rsid w:val="00880BFB"/>
    <w:rsid w:val="00881512"/>
    <w:rsid w:val="008818D3"/>
    <w:rsid w:val="008823A2"/>
    <w:rsid w:val="0088450A"/>
    <w:rsid w:val="008846F3"/>
    <w:rsid w:val="00884C9D"/>
    <w:rsid w:val="00886B79"/>
    <w:rsid w:val="008918D5"/>
    <w:rsid w:val="00891BAF"/>
    <w:rsid w:val="00892E81"/>
    <w:rsid w:val="008944DD"/>
    <w:rsid w:val="008947E7"/>
    <w:rsid w:val="00894FC5"/>
    <w:rsid w:val="008958B3"/>
    <w:rsid w:val="008962CC"/>
    <w:rsid w:val="00896566"/>
    <w:rsid w:val="008965AD"/>
    <w:rsid w:val="00896A91"/>
    <w:rsid w:val="00896F50"/>
    <w:rsid w:val="0089701F"/>
    <w:rsid w:val="0089718D"/>
    <w:rsid w:val="008A0F25"/>
    <w:rsid w:val="008A1C26"/>
    <w:rsid w:val="008A1E64"/>
    <w:rsid w:val="008A2FA4"/>
    <w:rsid w:val="008A35CF"/>
    <w:rsid w:val="008A40BF"/>
    <w:rsid w:val="008A40E1"/>
    <w:rsid w:val="008A44A6"/>
    <w:rsid w:val="008A4E42"/>
    <w:rsid w:val="008A4F7C"/>
    <w:rsid w:val="008A739F"/>
    <w:rsid w:val="008A79B7"/>
    <w:rsid w:val="008A7A23"/>
    <w:rsid w:val="008A7FCE"/>
    <w:rsid w:val="008B2FD2"/>
    <w:rsid w:val="008B3717"/>
    <w:rsid w:val="008B3C0C"/>
    <w:rsid w:val="008B4A54"/>
    <w:rsid w:val="008B58CD"/>
    <w:rsid w:val="008B5973"/>
    <w:rsid w:val="008B6157"/>
    <w:rsid w:val="008B7273"/>
    <w:rsid w:val="008B7D19"/>
    <w:rsid w:val="008C076F"/>
    <w:rsid w:val="008C17E2"/>
    <w:rsid w:val="008C1BA9"/>
    <w:rsid w:val="008C1C8D"/>
    <w:rsid w:val="008C1EDE"/>
    <w:rsid w:val="008C264C"/>
    <w:rsid w:val="008C2D59"/>
    <w:rsid w:val="008C3BE5"/>
    <w:rsid w:val="008C42EB"/>
    <w:rsid w:val="008C755F"/>
    <w:rsid w:val="008C7D82"/>
    <w:rsid w:val="008C7F6F"/>
    <w:rsid w:val="008D0E3C"/>
    <w:rsid w:val="008D0F89"/>
    <w:rsid w:val="008D22E2"/>
    <w:rsid w:val="008D23DA"/>
    <w:rsid w:val="008D24A4"/>
    <w:rsid w:val="008D3E9B"/>
    <w:rsid w:val="008D4876"/>
    <w:rsid w:val="008D4B41"/>
    <w:rsid w:val="008D4B96"/>
    <w:rsid w:val="008D4D5E"/>
    <w:rsid w:val="008D72DB"/>
    <w:rsid w:val="008D7CC9"/>
    <w:rsid w:val="008D7F8E"/>
    <w:rsid w:val="008E03FD"/>
    <w:rsid w:val="008E09E5"/>
    <w:rsid w:val="008E0D8D"/>
    <w:rsid w:val="008E2E94"/>
    <w:rsid w:val="008E3218"/>
    <w:rsid w:val="008E409C"/>
    <w:rsid w:val="008E4A78"/>
    <w:rsid w:val="008E5740"/>
    <w:rsid w:val="008E588C"/>
    <w:rsid w:val="008E5D18"/>
    <w:rsid w:val="008E60E7"/>
    <w:rsid w:val="008E6FDF"/>
    <w:rsid w:val="008E7A32"/>
    <w:rsid w:val="008F0EEF"/>
    <w:rsid w:val="008F1A74"/>
    <w:rsid w:val="008F1BDF"/>
    <w:rsid w:val="008F35F3"/>
    <w:rsid w:val="008F3822"/>
    <w:rsid w:val="008F39FC"/>
    <w:rsid w:val="008F3BE6"/>
    <w:rsid w:val="008F49AE"/>
    <w:rsid w:val="008F4EB9"/>
    <w:rsid w:val="008F5570"/>
    <w:rsid w:val="008F5EAD"/>
    <w:rsid w:val="008F6168"/>
    <w:rsid w:val="009003AF"/>
    <w:rsid w:val="00900E9A"/>
    <w:rsid w:val="00902FBB"/>
    <w:rsid w:val="00903839"/>
    <w:rsid w:val="00903A63"/>
    <w:rsid w:val="00904B61"/>
    <w:rsid w:val="009062CF"/>
    <w:rsid w:val="009063E3"/>
    <w:rsid w:val="00906C13"/>
    <w:rsid w:val="00907884"/>
    <w:rsid w:val="00907EB4"/>
    <w:rsid w:val="00910A03"/>
    <w:rsid w:val="00910B7C"/>
    <w:rsid w:val="00911793"/>
    <w:rsid w:val="00912BEE"/>
    <w:rsid w:val="009149D3"/>
    <w:rsid w:val="00914BF4"/>
    <w:rsid w:val="00914DEA"/>
    <w:rsid w:val="00915567"/>
    <w:rsid w:val="009155A9"/>
    <w:rsid w:val="00916784"/>
    <w:rsid w:val="00916DAE"/>
    <w:rsid w:val="00917983"/>
    <w:rsid w:val="00921476"/>
    <w:rsid w:val="00922DA9"/>
    <w:rsid w:val="00923912"/>
    <w:rsid w:val="00924596"/>
    <w:rsid w:val="009246A1"/>
    <w:rsid w:val="009246FF"/>
    <w:rsid w:val="00924748"/>
    <w:rsid w:val="0092519E"/>
    <w:rsid w:val="0092548D"/>
    <w:rsid w:val="0092583D"/>
    <w:rsid w:val="00927D27"/>
    <w:rsid w:val="00930234"/>
    <w:rsid w:val="00930C76"/>
    <w:rsid w:val="0093191A"/>
    <w:rsid w:val="00931D6F"/>
    <w:rsid w:val="0093224B"/>
    <w:rsid w:val="00933000"/>
    <w:rsid w:val="0093334B"/>
    <w:rsid w:val="00933521"/>
    <w:rsid w:val="0093412B"/>
    <w:rsid w:val="0093543B"/>
    <w:rsid w:val="0093584B"/>
    <w:rsid w:val="0093605F"/>
    <w:rsid w:val="00936BE2"/>
    <w:rsid w:val="00937CD5"/>
    <w:rsid w:val="00940C3B"/>
    <w:rsid w:val="0094164B"/>
    <w:rsid w:val="0094277F"/>
    <w:rsid w:val="00942BD6"/>
    <w:rsid w:val="009469E3"/>
    <w:rsid w:val="009503AC"/>
    <w:rsid w:val="009506A3"/>
    <w:rsid w:val="00950E66"/>
    <w:rsid w:val="00951151"/>
    <w:rsid w:val="00951E09"/>
    <w:rsid w:val="00952FEA"/>
    <w:rsid w:val="00953727"/>
    <w:rsid w:val="00954176"/>
    <w:rsid w:val="009547CC"/>
    <w:rsid w:val="00954866"/>
    <w:rsid w:val="00954BEB"/>
    <w:rsid w:val="00954F11"/>
    <w:rsid w:val="009574CC"/>
    <w:rsid w:val="00957786"/>
    <w:rsid w:val="00962575"/>
    <w:rsid w:val="009625CF"/>
    <w:rsid w:val="009627D0"/>
    <w:rsid w:val="00963685"/>
    <w:rsid w:val="009636CB"/>
    <w:rsid w:val="00963ECB"/>
    <w:rsid w:val="00963EFA"/>
    <w:rsid w:val="009664D9"/>
    <w:rsid w:val="0096670F"/>
    <w:rsid w:val="00966DBA"/>
    <w:rsid w:val="009679B2"/>
    <w:rsid w:val="0097116E"/>
    <w:rsid w:val="0097142B"/>
    <w:rsid w:val="009719E0"/>
    <w:rsid w:val="00972055"/>
    <w:rsid w:val="0097361D"/>
    <w:rsid w:val="00974F05"/>
    <w:rsid w:val="00975061"/>
    <w:rsid w:val="009751A5"/>
    <w:rsid w:val="00975EF2"/>
    <w:rsid w:val="00976008"/>
    <w:rsid w:val="00977978"/>
    <w:rsid w:val="0098011D"/>
    <w:rsid w:val="00981168"/>
    <w:rsid w:val="00981B47"/>
    <w:rsid w:val="00984A5F"/>
    <w:rsid w:val="00986169"/>
    <w:rsid w:val="009863A9"/>
    <w:rsid w:val="009869E3"/>
    <w:rsid w:val="00987605"/>
    <w:rsid w:val="00990E75"/>
    <w:rsid w:val="009942A9"/>
    <w:rsid w:val="00994461"/>
    <w:rsid w:val="009947E6"/>
    <w:rsid w:val="00994AB4"/>
    <w:rsid w:val="00994E44"/>
    <w:rsid w:val="0099761E"/>
    <w:rsid w:val="009976E3"/>
    <w:rsid w:val="009A12E5"/>
    <w:rsid w:val="009A1531"/>
    <w:rsid w:val="009A2AF0"/>
    <w:rsid w:val="009A42AF"/>
    <w:rsid w:val="009A453F"/>
    <w:rsid w:val="009A4831"/>
    <w:rsid w:val="009A61D1"/>
    <w:rsid w:val="009A6615"/>
    <w:rsid w:val="009A7188"/>
    <w:rsid w:val="009A7912"/>
    <w:rsid w:val="009B0265"/>
    <w:rsid w:val="009B1D03"/>
    <w:rsid w:val="009B2CEA"/>
    <w:rsid w:val="009B3317"/>
    <w:rsid w:val="009B41C4"/>
    <w:rsid w:val="009B42FF"/>
    <w:rsid w:val="009B456C"/>
    <w:rsid w:val="009B496E"/>
    <w:rsid w:val="009B6CD7"/>
    <w:rsid w:val="009B70D1"/>
    <w:rsid w:val="009B77F4"/>
    <w:rsid w:val="009C0184"/>
    <w:rsid w:val="009C19DA"/>
    <w:rsid w:val="009C2A93"/>
    <w:rsid w:val="009C2C0B"/>
    <w:rsid w:val="009C3462"/>
    <w:rsid w:val="009C378F"/>
    <w:rsid w:val="009C381E"/>
    <w:rsid w:val="009C3B17"/>
    <w:rsid w:val="009C3ED9"/>
    <w:rsid w:val="009C4663"/>
    <w:rsid w:val="009C7098"/>
    <w:rsid w:val="009D139B"/>
    <w:rsid w:val="009D1E95"/>
    <w:rsid w:val="009D2DF1"/>
    <w:rsid w:val="009D313B"/>
    <w:rsid w:val="009D3654"/>
    <w:rsid w:val="009D42F0"/>
    <w:rsid w:val="009D4FE5"/>
    <w:rsid w:val="009D504C"/>
    <w:rsid w:val="009D50EB"/>
    <w:rsid w:val="009D597A"/>
    <w:rsid w:val="009D5F3E"/>
    <w:rsid w:val="009D7660"/>
    <w:rsid w:val="009E116F"/>
    <w:rsid w:val="009E13DA"/>
    <w:rsid w:val="009E1945"/>
    <w:rsid w:val="009E2354"/>
    <w:rsid w:val="009E563B"/>
    <w:rsid w:val="009E5D35"/>
    <w:rsid w:val="009E6323"/>
    <w:rsid w:val="009E6C2F"/>
    <w:rsid w:val="009E6E3B"/>
    <w:rsid w:val="009E7895"/>
    <w:rsid w:val="009F1090"/>
    <w:rsid w:val="009F2368"/>
    <w:rsid w:val="009F254C"/>
    <w:rsid w:val="009F26BD"/>
    <w:rsid w:val="009F3472"/>
    <w:rsid w:val="009F6FF9"/>
    <w:rsid w:val="009F728F"/>
    <w:rsid w:val="009F7497"/>
    <w:rsid w:val="009F7E03"/>
    <w:rsid w:val="00A01473"/>
    <w:rsid w:val="00A01CC0"/>
    <w:rsid w:val="00A023A7"/>
    <w:rsid w:val="00A030EF"/>
    <w:rsid w:val="00A03422"/>
    <w:rsid w:val="00A03797"/>
    <w:rsid w:val="00A0385D"/>
    <w:rsid w:val="00A03E14"/>
    <w:rsid w:val="00A04A28"/>
    <w:rsid w:val="00A05ADC"/>
    <w:rsid w:val="00A05C63"/>
    <w:rsid w:val="00A06067"/>
    <w:rsid w:val="00A06263"/>
    <w:rsid w:val="00A0654B"/>
    <w:rsid w:val="00A0710F"/>
    <w:rsid w:val="00A12175"/>
    <w:rsid w:val="00A12663"/>
    <w:rsid w:val="00A131A5"/>
    <w:rsid w:val="00A132D4"/>
    <w:rsid w:val="00A14C49"/>
    <w:rsid w:val="00A15656"/>
    <w:rsid w:val="00A16D37"/>
    <w:rsid w:val="00A2042A"/>
    <w:rsid w:val="00A216B3"/>
    <w:rsid w:val="00A219DB"/>
    <w:rsid w:val="00A21AC6"/>
    <w:rsid w:val="00A21BB6"/>
    <w:rsid w:val="00A22731"/>
    <w:rsid w:val="00A240F9"/>
    <w:rsid w:val="00A251E9"/>
    <w:rsid w:val="00A2522E"/>
    <w:rsid w:val="00A2552B"/>
    <w:rsid w:val="00A26C5E"/>
    <w:rsid w:val="00A27FAA"/>
    <w:rsid w:val="00A3045B"/>
    <w:rsid w:val="00A30949"/>
    <w:rsid w:val="00A30C2C"/>
    <w:rsid w:val="00A30F8D"/>
    <w:rsid w:val="00A3124D"/>
    <w:rsid w:val="00A31272"/>
    <w:rsid w:val="00A319C8"/>
    <w:rsid w:val="00A32078"/>
    <w:rsid w:val="00A32AE9"/>
    <w:rsid w:val="00A33091"/>
    <w:rsid w:val="00A342A9"/>
    <w:rsid w:val="00A34E7E"/>
    <w:rsid w:val="00A364E4"/>
    <w:rsid w:val="00A36BAC"/>
    <w:rsid w:val="00A371DE"/>
    <w:rsid w:val="00A405E7"/>
    <w:rsid w:val="00A40C08"/>
    <w:rsid w:val="00A40C6E"/>
    <w:rsid w:val="00A414DE"/>
    <w:rsid w:val="00A419B1"/>
    <w:rsid w:val="00A42211"/>
    <w:rsid w:val="00A44404"/>
    <w:rsid w:val="00A45408"/>
    <w:rsid w:val="00A4573E"/>
    <w:rsid w:val="00A45BD1"/>
    <w:rsid w:val="00A50C5E"/>
    <w:rsid w:val="00A517AB"/>
    <w:rsid w:val="00A5255F"/>
    <w:rsid w:val="00A52642"/>
    <w:rsid w:val="00A52B10"/>
    <w:rsid w:val="00A53207"/>
    <w:rsid w:val="00A534CB"/>
    <w:rsid w:val="00A544E2"/>
    <w:rsid w:val="00A56537"/>
    <w:rsid w:val="00A56CFA"/>
    <w:rsid w:val="00A56D58"/>
    <w:rsid w:val="00A574C3"/>
    <w:rsid w:val="00A61B25"/>
    <w:rsid w:val="00A61FEB"/>
    <w:rsid w:val="00A632F0"/>
    <w:rsid w:val="00A64501"/>
    <w:rsid w:val="00A64FA6"/>
    <w:rsid w:val="00A652A3"/>
    <w:rsid w:val="00A663A6"/>
    <w:rsid w:val="00A675F0"/>
    <w:rsid w:val="00A6765C"/>
    <w:rsid w:val="00A67A3E"/>
    <w:rsid w:val="00A703AD"/>
    <w:rsid w:val="00A71590"/>
    <w:rsid w:val="00A724DD"/>
    <w:rsid w:val="00A73464"/>
    <w:rsid w:val="00A73A70"/>
    <w:rsid w:val="00A749CE"/>
    <w:rsid w:val="00A766E7"/>
    <w:rsid w:val="00A77B7A"/>
    <w:rsid w:val="00A77DCC"/>
    <w:rsid w:val="00A80398"/>
    <w:rsid w:val="00A8140F"/>
    <w:rsid w:val="00A819F5"/>
    <w:rsid w:val="00A82167"/>
    <w:rsid w:val="00A82983"/>
    <w:rsid w:val="00A82AF6"/>
    <w:rsid w:val="00A82E30"/>
    <w:rsid w:val="00A83369"/>
    <w:rsid w:val="00A84B13"/>
    <w:rsid w:val="00A84C7A"/>
    <w:rsid w:val="00A851B5"/>
    <w:rsid w:val="00A85CD6"/>
    <w:rsid w:val="00A87120"/>
    <w:rsid w:val="00A91E37"/>
    <w:rsid w:val="00A91FA1"/>
    <w:rsid w:val="00A9219E"/>
    <w:rsid w:val="00A92D84"/>
    <w:rsid w:val="00A94BE5"/>
    <w:rsid w:val="00A95B18"/>
    <w:rsid w:val="00A963C4"/>
    <w:rsid w:val="00A967F8"/>
    <w:rsid w:val="00A97514"/>
    <w:rsid w:val="00AA1D5C"/>
    <w:rsid w:val="00AA2020"/>
    <w:rsid w:val="00AA3B30"/>
    <w:rsid w:val="00AA4A89"/>
    <w:rsid w:val="00AA4E98"/>
    <w:rsid w:val="00AA613B"/>
    <w:rsid w:val="00AA619D"/>
    <w:rsid w:val="00AA7316"/>
    <w:rsid w:val="00AA764F"/>
    <w:rsid w:val="00AB2031"/>
    <w:rsid w:val="00AB2297"/>
    <w:rsid w:val="00AB32A6"/>
    <w:rsid w:val="00AB3F19"/>
    <w:rsid w:val="00AB45FC"/>
    <w:rsid w:val="00AB6670"/>
    <w:rsid w:val="00AC0E50"/>
    <w:rsid w:val="00AC205E"/>
    <w:rsid w:val="00AC3B1D"/>
    <w:rsid w:val="00AC467F"/>
    <w:rsid w:val="00AC47A6"/>
    <w:rsid w:val="00AC51FF"/>
    <w:rsid w:val="00AC5E51"/>
    <w:rsid w:val="00AC6BF4"/>
    <w:rsid w:val="00AC700C"/>
    <w:rsid w:val="00AC77CB"/>
    <w:rsid w:val="00AC7A1F"/>
    <w:rsid w:val="00AC7E37"/>
    <w:rsid w:val="00AD00E9"/>
    <w:rsid w:val="00AD1817"/>
    <w:rsid w:val="00AD1A19"/>
    <w:rsid w:val="00AD2529"/>
    <w:rsid w:val="00AD331D"/>
    <w:rsid w:val="00AD3B7D"/>
    <w:rsid w:val="00AD4812"/>
    <w:rsid w:val="00AD531D"/>
    <w:rsid w:val="00AD544D"/>
    <w:rsid w:val="00AD67FA"/>
    <w:rsid w:val="00AD794E"/>
    <w:rsid w:val="00AE1224"/>
    <w:rsid w:val="00AE1750"/>
    <w:rsid w:val="00AE38B3"/>
    <w:rsid w:val="00AE46FE"/>
    <w:rsid w:val="00AE5916"/>
    <w:rsid w:val="00AE5DC0"/>
    <w:rsid w:val="00AE6027"/>
    <w:rsid w:val="00AE72EE"/>
    <w:rsid w:val="00AF0032"/>
    <w:rsid w:val="00AF027E"/>
    <w:rsid w:val="00AF2A93"/>
    <w:rsid w:val="00AF2BF9"/>
    <w:rsid w:val="00AF341A"/>
    <w:rsid w:val="00AF4C44"/>
    <w:rsid w:val="00AF5BB0"/>
    <w:rsid w:val="00AF6951"/>
    <w:rsid w:val="00AF7EFE"/>
    <w:rsid w:val="00B01E52"/>
    <w:rsid w:val="00B034EF"/>
    <w:rsid w:val="00B03CDE"/>
    <w:rsid w:val="00B041BF"/>
    <w:rsid w:val="00B04EAE"/>
    <w:rsid w:val="00B1179B"/>
    <w:rsid w:val="00B11CFD"/>
    <w:rsid w:val="00B1224E"/>
    <w:rsid w:val="00B14744"/>
    <w:rsid w:val="00B1580D"/>
    <w:rsid w:val="00B16E92"/>
    <w:rsid w:val="00B172B2"/>
    <w:rsid w:val="00B176B5"/>
    <w:rsid w:val="00B178EA"/>
    <w:rsid w:val="00B236DE"/>
    <w:rsid w:val="00B26AC2"/>
    <w:rsid w:val="00B27268"/>
    <w:rsid w:val="00B302E9"/>
    <w:rsid w:val="00B30BF7"/>
    <w:rsid w:val="00B32031"/>
    <w:rsid w:val="00B328EE"/>
    <w:rsid w:val="00B335DB"/>
    <w:rsid w:val="00B337D1"/>
    <w:rsid w:val="00B34E2E"/>
    <w:rsid w:val="00B35862"/>
    <w:rsid w:val="00B369C3"/>
    <w:rsid w:val="00B407F5"/>
    <w:rsid w:val="00B41E35"/>
    <w:rsid w:val="00B41FFC"/>
    <w:rsid w:val="00B4250A"/>
    <w:rsid w:val="00B437BD"/>
    <w:rsid w:val="00B452E8"/>
    <w:rsid w:val="00B45F10"/>
    <w:rsid w:val="00B519B1"/>
    <w:rsid w:val="00B51D48"/>
    <w:rsid w:val="00B52224"/>
    <w:rsid w:val="00B52821"/>
    <w:rsid w:val="00B52D11"/>
    <w:rsid w:val="00B534A6"/>
    <w:rsid w:val="00B5649B"/>
    <w:rsid w:val="00B569B1"/>
    <w:rsid w:val="00B576B2"/>
    <w:rsid w:val="00B601CF"/>
    <w:rsid w:val="00B60FFA"/>
    <w:rsid w:val="00B61A36"/>
    <w:rsid w:val="00B61D06"/>
    <w:rsid w:val="00B61F3B"/>
    <w:rsid w:val="00B62BC7"/>
    <w:rsid w:val="00B6352A"/>
    <w:rsid w:val="00B66A6D"/>
    <w:rsid w:val="00B6773F"/>
    <w:rsid w:val="00B6781F"/>
    <w:rsid w:val="00B70217"/>
    <w:rsid w:val="00B72DDE"/>
    <w:rsid w:val="00B7305F"/>
    <w:rsid w:val="00B73136"/>
    <w:rsid w:val="00B7324F"/>
    <w:rsid w:val="00B734F5"/>
    <w:rsid w:val="00B76632"/>
    <w:rsid w:val="00B776BC"/>
    <w:rsid w:val="00B776F7"/>
    <w:rsid w:val="00B77D0C"/>
    <w:rsid w:val="00B81EFE"/>
    <w:rsid w:val="00B825D3"/>
    <w:rsid w:val="00B868D9"/>
    <w:rsid w:val="00B8725C"/>
    <w:rsid w:val="00B92678"/>
    <w:rsid w:val="00B92868"/>
    <w:rsid w:val="00B92D5A"/>
    <w:rsid w:val="00B9784D"/>
    <w:rsid w:val="00BA0548"/>
    <w:rsid w:val="00BA109A"/>
    <w:rsid w:val="00BA1E81"/>
    <w:rsid w:val="00BA2284"/>
    <w:rsid w:val="00BA351A"/>
    <w:rsid w:val="00BA5A59"/>
    <w:rsid w:val="00BA67FA"/>
    <w:rsid w:val="00BA7B30"/>
    <w:rsid w:val="00BB108D"/>
    <w:rsid w:val="00BB2E70"/>
    <w:rsid w:val="00BB3738"/>
    <w:rsid w:val="00BB48D1"/>
    <w:rsid w:val="00BB67EF"/>
    <w:rsid w:val="00BC04D1"/>
    <w:rsid w:val="00BC0EA1"/>
    <w:rsid w:val="00BC0F48"/>
    <w:rsid w:val="00BC1112"/>
    <w:rsid w:val="00BC21DE"/>
    <w:rsid w:val="00BC3069"/>
    <w:rsid w:val="00BC541E"/>
    <w:rsid w:val="00BC5E7E"/>
    <w:rsid w:val="00BC5F8E"/>
    <w:rsid w:val="00BC6249"/>
    <w:rsid w:val="00BC6848"/>
    <w:rsid w:val="00BD133F"/>
    <w:rsid w:val="00BD1C9E"/>
    <w:rsid w:val="00BD3486"/>
    <w:rsid w:val="00BD3C8B"/>
    <w:rsid w:val="00BD3F60"/>
    <w:rsid w:val="00BD6AB8"/>
    <w:rsid w:val="00BD7253"/>
    <w:rsid w:val="00BE0C03"/>
    <w:rsid w:val="00BE1290"/>
    <w:rsid w:val="00BE1DFF"/>
    <w:rsid w:val="00BE2FA2"/>
    <w:rsid w:val="00BE315A"/>
    <w:rsid w:val="00BE4732"/>
    <w:rsid w:val="00BE4963"/>
    <w:rsid w:val="00BE4B27"/>
    <w:rsid w:val="00BE4FA8"/>
    <w:rsid w:val="00BE54C5"/>
    <w:rsid w:val="00BE5D1C"/>
    <w:rsid w:val="00BE690A"/>
    <w:rsid w:val="00BF0383"/>
    <w:rsid w:val="00BF07EF"/>
    <w:rsid w:val="00BF0EBD"/>
    <w:rsid w:val="00BF26B4"/>
    <w:rsid w:val="00BF4D0A"/>
    <w:rsid w:val="00BF5B20"/>
    <w:rsid w:val="00BF65C4"/>
    <w:rsid w:val="00BF6AE2"/>
    <w:rsid w:val="00C008B9"/>
    <w:rsid w:val="00C01F03"/>
    <w:rsid w:val="00C03489"/>
    <w:rsid w:val="00C03DD6"/>
    <w:rsid w:val="00C04F5C"/>
    <w:rsid w:val="00C06D9E"/>
    <w:rsid w:val="00C10C84"/>
    <w:rsid w:val="00C11537"/>
    <w:rsid w:val="00C11B46"/>
    <w:rsid w:val="00C11C90"/>
    <w:rsid w:val="00C124A3"/>
    <w:rsid w:val="00C12623"/>
    <w:rsid w:val="00C14AC6"/>
    <w:rsid w:val="00C14DF6"/>
    <w:rsid w:val="00C152FB"/>
    <w:rsid w:val="00C15F1A"/>
    <w:rsid w:val="00C1639F"/>
    <w:rsid w:val="00C17E4D"/>
    <w:rsid w:val="00C20701"/>
    <w:rsid w:val="00C2282D"/>
    <w:rsid w:val="00C22B4C"/>
    <w:rsid w:val="00C24587"/>
    <w:rsid w:val="00C2482E"/>
    <w:rsid w:val="00C24ACA"/>
    <w:rsid w:val="00C24B2E"/>
    <w:rsid w:val="00C27481"/>
    <w:rsid w:val="00C30078"/>
    <w:rsid w:val="00C3020A"/>
    <w:rsid w:val="00C30392"/>
    <w:rsid w:val="00C33E5A"/>
    <w:rsid w:val="00C34040"/>
    <w:rsid w:val="00C34C44"/>
    <w:rsid w:val="00C34CAF"/>
    <w:rsid w:val="00C35064"/>
    <w:rsid w:val="00C351A2"/>
    <w:rsid w:val="00C3555F"/>
    <w:rsid w:val="00C35C10"/>
    <w:rsid w:val="00C36174"/>
    <w:rsid w:val="00C36AC1"/>
    <w:rsid w:val="00C3779A"/>
    <w:rsid w:val="00C37A3D"/>
    <w:rsid w:val="00C408E9"/>
    <w:rsid w:val="00C416CB"/>
    <w:rsid w:val="00C42EF3"/>
    <w:rsid w:val="00C42F02"/>
    <w:rsid w:val="00C430DF"/>
    <w:rsid w:val="00C44945"/>
    <w:rsid w:val="00C44FF7"/>
    <w:rsid w:val="00C45253"/>
    <w:rsid w:val="00C46EF6"/>
    <w:rsid w:val="00C470B4"/>
    <w:rsid w:val="00C47C37"/>
    <w:rsid w:val="00C50238"/>
    <w:rsid w:val="00C50F3D"/>
    <w:rsid w:val="00C50FB4"/>
    <w:rsid w:val="00C5116E"/>
    <w:rsid w:val="00C511B7"/>
    <w:rsid w:val="00C516E1"/>
    <w:rsid w:val="00C51B93"/>
    <w:rsid w:val="00C528E5"/>
    <w:rsid w:val="00C52BAA"/>
    <w:rsid w:val="00C52D5E"/>
    <w:rsid w:val="00C56E9A"/>
    <w:rsid w:val="00C61961"/>
    <w:rsid w:val="00C62981"/>
    <w:rsid w:val="00C640D6"/>
    <w:rsid w:val="00C6649C"/>
    <w:rsid w:val="00C6781F"/>
    <w:rsid w:val="00C67825"/>
    <w:rsid w:val="00C703A8"/>
    <w:rsid w:val="00C708B4"/>
    <w:rsid w:val="00C70FA7"/>
    <w:rsid w:val="00C713E4"/>
    <w:rsid w:val="00C71AFB"/>
    <w:rsid w:val="00C748FB"/>
    <w:rsid w:val="00C74ACC"/>
    <w:rsid w:val="00C74B96"/>
    <w:rsid w:val="00C74BD4"/>
    <w:rsid w:val="00C75C50"/>
    <w:rsid w:val="00C77E63"/>
    <w:rsid w:val="00C8119C"/>
    <w:rsid w:val="00C820C2"/>
    <w:rsid w:val="00C837B9"/>
    <w:rsid w:val="00C83C4D"/>
    <w:rsid w:val="00C8431D"/>
    <w:rsid w:val="00C848D0"/>
    <w:rsid w:val="00C85E23"/>
    <w:rsid w:val="00C86167"/>
    <w:rsid w:val="00C86FA3"/>
    <w:rsid w:val="00C91FAB"/>
    <w:rsid w:val="00C93B11"/>
    <w:rsid w:val="00C9653B"/>
    <w:rsid w:val="00C9675B"/>
    <w:rsid w:val="00C96B6C"/>
    <w:rsid w:val="00C9739B"/>
    <w:rsid w:val="00CA0336"/>
    <w:rsid w:val="00CA1706"/>
    <w:rsid w:val="00CA2E07"/>
    <w:rsid w:val="00CA33B4"/>
    <w:rsid w:val="00CA344C"/>
    <w:rsid w:val="00CA6AE1"/>
    <w:rsid w:val="00CA72CD"/>
    <w:rsid w:val="00CB04A9"/>
    <w:rsid w:val="00CB098E"/>
    <w:rsid w:val="00CB2ACA"/>
    <w:rsid w:val="00CB2C1E"/>
    <w:rsid w:val="00CB7676"/>
    <w:rsid w:val="00CC19E0"/>
    <w:rsid w:val="00CC2A6E"/>
    <w:rsid w:val="00CC3DCC"/>
    <w:rsid w:val="00CC4790"/>
    <w:rsid w:val="00CC6F16"/>
    <w:rsid w:val="00CC6F44"/>
    <w:rsid w:val="00CD0FDE"/>
    <w:rsid w:val="00CD10FB"/>
    <w:rsid w:val="00CD141A"/>
    <w:rsid w:val="00CD40F2"/>
    <w:rsid w:val="00CD4863"/>
    <w:rsid w:val="00CD53A8"/>
    <w:rsid w:val="00CD6822"/>
    <w:rsid w:val="00CE1DFB"/>
    <w:rsid w:val="00CE3541"/>
    <w:rsid w:val="00CE3E67"/>
    <w:rsid w:val="00CE442F"/>
    <w:rsid w:val="00CE4B99"/>
    <w:rsid w:val="00CE68EF"/>
    <w:rsid w:val="00CE75E5"/>
    <w:rsid w:val="00CF1223"/>
    <w:rsid w:val="00CF128D"/>
    <w:rsid w:val="00CF2EDC"/>
    <w:rsid w:val="00CF3FF3"/>
    <w:rsid w:val="00CF64D5"/>
    <w:rsid w:val="00CF6C09"/>
    <w:rsid w:val="00D00480"/>
    <w:rsid w:val="00D012D7"/>
    <w:rsid w:val="00D0203B"/>
    <w:rsid w:val="00D04470"/>
    <w:rsid w:val="00D046D2"/>
    <w:rsid w:val="00D048D7"/>
    <w:rsid w:val="00D049DF"/>
    <w:rsid w:val="00D068B9"/>
    <w:rsid w:val="00D1009F"/>
    <w:rsid w:val="00D12508"/>
    <w:rsid w:val="00D134ED"/>
    <w:rsid w:val="00D136F4"/>
    <w:rsid w:val="00D1672D"/>
    <w:rsid w:val="00D175F5"/>
    <w:rsid w:val="00D20015"/>
    <w:rsid w:val="00D21CE5"/>
    <w:rsid w:val="00D22542"/>
    <w:rsid w:val="00D22563"/>
    <w:rsid w:val="00D226DB"/>
    <w:rsid w:val="00D2529F"/>
    <w:rsid w:val="00D25361"/>
    <w:rsid w:val="00D259F2"/>
    <w:rsid w:val="00D2635C"/>
    <w:rsid w:val="00D263DD"/>
    <w:rsid w:val="00D271E8"/>
    <w:rsid w:val="00D301ED"/>
    <w:rsid w:val="00D30CB4"/>
    <w:rsid w:val="00D31726"/>
    <w:rsid w:val="00D32E84"/>
    <w:rsid w:val="00D330CA"/>
    <w:rsid w:val="00D33BF9"/>
    <w:rsid w:val="00D33E52"/>
    <w:rsid w:val="00D34343"/>
    <w:rsid w:val="00D347E3"/>
    <w:rsid w:val="00D34E7C"/>
    <w:rsid w:val="00D35E30"/>
    <w:rsid w:val="00D3655A"/>
    <w:rsid w:val="00D36F3C"/>
    <w:rsid w:val="00D4005E"/>
    <w:rsid w:val="00D40223"/>
    <w:rsid w:val="00D4179D"/>
    <w:rsid w:val="00D41A95"/>
    <w:rsid w:val="00D4299A"/>
    <w:rsid w:val="00D429EC"/>
    <w:rsid w:val="00D45CB0"/>
    <w:rsid w:val="00D501AA"/>
    <w:rsid w:val="00D510E1"/>
    <w:rsid w:val="00D51503"/>
    <w:rsid w:val="00D51933"/>
    <w:rsid w:val="00D52574"/>
    <w:rsid w:val="00D53093"/>
    <w:rsid w:val="00D53850"/>
    <w:rsid w:val="00D53A59"/>
    <w:rsid w:val="00D563FB"/>
    <w:rsid w:val="00D566F4"/>
    <w:rsid w:val="00D56A2D"/>
    <w:rsid w:val="00D56C0B"/>
    <w:rsid w:val="00D6004C"/>
    <w:rsid w:val="00D61253"/>
    <w:rsid w:val="00D61432"/>
    <w:rsid w:val="00D62810"/>
    <w:rsid w:val="00D63310"/>
    <w:rsid w:val="00D6385C"/>
    <w:rsid w:val="00D64670"/>
    <w:rsid w:val="00D6488C"/>
    <w:rsid w:val="00D64EE4"/>
    <w:rsid w:val="00D6599C"/>
    <w:rsid w:val="00D65A3E"/>
    <w:rsid w:val="00D664A8"/>
    <w:rsid w:val="00D6677F"/>
    <w:rsid w:val="00D66D47"/>
    <w:rsid w:val="00D67BC7"/>
    <w:rsid w:val="00D72D5E"/>
    <w:rsid w:val="00D72EBD"/>
    <w:rsid w:val="00D73FA2"/>
    <w:rsid w:val="00D74794"/>
    <w:rsid w:val="00D7511C"/>
    <w:rsid w:val="00D771FE"/>
    <w:rsid w:val="00D77CF0"/>
    <w:rsid w:val="00D77FA4"/>
    <w:rsid w:val="00D77FD8"/>
    <w:rsid w:val="00D80949"/>
    <w:rsid w:val="00D82AC5"/>
    <w:rsid w:val="00D845C5"/>
    <w:rsid w:val="00D84C0A"/>
    <w:rsid w:val="00D8628E"/>
    <w:rsid w:val="00D90057"/>
    <w:rsid w:val="00D918C2"/>
    <w:rsid w:val="00D9315A"/>
    <w:rsid w:val="00D93396"/>
    <w:rsid w:val="00D947DE"/>
    <w:rsid w:val="00D96290"/>
    <w:rsid w:val="00D96D72"/>
    <w:rsid w:val="00D97060"/>
    <w:rsid w:val="00D975FF"/>
    <w:rsid w:val="00D97E86"/>
    <w:rsid w:val="00DA0D8C"/>
    <w:rsid w:val="00DA1CB7"/>
    <w:rsid w:val="00DA35E6"/>
    <w:rsid w:val="00DA3C77"/>
    <w:rsid w:val="00DA47A4"/>
    <w:rsid w:val="00DA50D3"/>
    <w:rsid w:val="00DA50D9"/>
    <w:rsid w:val="00DA5414"/>
    <w:rsid w:val="00DA69ED"/>
    <w:rsid w:val="00DA72A8"/>
    <w:rsid w:val="00DA7A1F"/>
    <w:rsid w:val="00DB0C6A"/>
    <w:rsid w:val="00DB1AD4"/>
    <w:rsid w:val="00DB22B7"/>
    <w:rsid w:val="00DB426E"/>
    <w:rsid w:val="00DB4366"/>
    <w:rsid w:val="00DC0112"/>
    <w:rsid w:val="00DC0289"/>
    <w:rsid w:val="00DC18D7"/>
    <w:rsid w:val="00DC1D1B"/>
    <w:rsid w:val="00DC25C4"/>
    <w:rsid w:val="00DC3D6D"/>
    <w:rsid w:val="00DC42A9"/>
    <w:rsid w:val="00DC65EF"/>
    <w:rsid w:val="00DC69D7"/>
    <w:rsid w:val="00DD0FA8"/>
    <w:rsid w:val="00DD16AA"/>
    <w:rsid w:val="00DD185D"/>
    <w:rsid w:val="00DD2561"/>
    <w:rsid w:val="00DD2B72"/>
    <w:rsid w:val="00DD2FF7"/>
    <w:rsid w:val="00DD39CA"/>
    <w:rsid w:val="00DD4398"/>
    <w:rsid w:val="00DD440D"/>
    <w:rsid w:val="00DD50F1"/>
    <w:rsid w:val="00DD5103"/>
    <w:rsid w:val="00DD558C"/>
    <w:rsid w:val="00DD5CBA"/>
    <w:rsid w:val="00DD5ED0"/>
    <w:rsid w:val="00DD639F"/>
    <w:rsid w:val="00DE0C56"/>
    <w:rsid w:val="00DE16E4"/>
    <w:rsid w:val="00DE225E"/>
    <w:rsid w:val="00DE2ADA"/>
    <w:rsid w:val="00DE4AD9"/>
    <w:rsid w:val="00DE5D78"/>
    <w:rsid w:val="00DE6055"/>
    <w:rsid w:val="00DE66BC"/>
    <w:rsid w:val="00DE7640"/>
    <w:rsid w:val="00DE79A8"/>
    <w:rsid w:val="00DF2454"/>
    <w:rsid w:val="00DF2649"/>
    <w:rsid w:val="00DF3C23"/>
    <w:rsid w:val="00DF3CAE"/>
    <w:rsid w:val="00DF4EFD"/>
    <w:rsid w:val="00DF6A98"/>
    <w:rsid w:val="00DF6C11"/>
    <w:rsid w:val="00DF797C"/>
    <w:rsid w:val="00E00368"/>
    <w:rsid w:val="00E00EA0"/>
    <w:rsid w:val="00E05C19"/>
    <w:rsid w:val="00E064C4"/>
    <w:rsid w:val="00E07591"/>
    <w:rsid w:val="00E1155C"/>
    <w:rsid w:val="00E121F5"/>
    <w:rsid w:val="00E13E8C"/>
    <w:rsid w:val="00E142BF"/>
    <w:rsid w:val="00E143E4"/>
    <w:rsid w:val="00E14531"/>
    <w:rsid w:val="00E16914"/>
    <w:rsid w:val="00E17F92"/>
    <w:rsid w:val="00E20659"/>
    <w:rsid w:val="00E20949"/>
    <w:rsid w:val="00E24332"/>
    <w:rsid w:val="00E24CFB"/>
    <w:rsid w:val="00E27AF0"/>
    <w:rsid w:val="00E30979"/>
    <w:rsid w:val="00E30F17"/>
    <w:rsid w:val="00E310D0"/>
    <w:rsid w:val="00E41B9B"/>
    <w:rsid w:val="00E4305C"/>
    <w:rsid w:val="00E44D8E"/>
    <w:rsid w:val="00E4554F"/>
    <w:rsid w:val="00E45D86"/>
    <w:rsid w:val="00E4635C"/>
    <w:rsid w:val="00E47917"/>
    <w:rsid w:val="00E47DB7"/>
    <w:rsid w:val="00E50C97"/>
    <w:rsid w:val="00E51181"/>
    <w:rsid w:val="00E5191F"/>
    <w:rsid w:val="00E52359"/>
    <w:rsid w:val="00E53EAD"/>
    <w:rsid w:val="00E566A1"/>
    <w:rsid w:val="00E57597"/>
    <w:rsid w:val="00E57818"/>
    <w:rsid w:val="00E57DE4"/>
    <w:rsid w:val="00E60783"/>
    <w:rsid w:val="00E62FA8"/>
    <w:rsid w:val="00E634C3"/>
    <w:rsid w:val="00E636AE"/>
    <w:rsid w:val="00E6387C"/>
    <w:rsid w:val="00E6387F"/>
    <w:rsid w:val="00E63B48"/>
    <w:rsid w:val="00E65F93"/>
    <w:rsid w:val="00E70673"/>
    <w:rsid w:val="00E716CE"/>
    <w:rsid w:val="00E71CB7"/>
    <w:rsid w:val="00E71DBB"/>
    <w:rsid w:val="00E731AC"/>
    <w:rsid w:val="00E734AE"/>
    <w:rsid w:val="00E73CC8"/>
    <w:rsid w:val="00E73D9A"/>
    <w:rsid w:val="00E7536A"/>
    <w:rsid w:val="00E754A8"/>
    <w:rsid w:val="00E76C71"/>
    <w:rsid w:val="00E77931"/>
    <w:rsid w:val="00E77E26"/>
    <w:rsid w:val="00E801E4"/>
    <w:rsid w:val="00E80774"/>
    <w:rsid w:val="00E807E3"/>
    <w:rsid w:val="00E809C2"/>
    <w:rsid w:val="00E830E6"/>
    <w:rsid w:val="00E8382B"/>
    <w:rsid w:val="00E84F46"/>
    <w:rsid w:val="00E8522D"/>
    <w:rsid w:val="00E854CD"/>
    <w:rsid w:val="00E87B27"/>
    <w:rsid w:val="00E913B1"/>
    <w:rsid w:val="00E930C7"/>
    <w:rsid w:val="00E94818"/>
    <w:rsid w:val="00E9687F"/>
    <w:rsid w:val="00EA01B8"/>
    <w:rsid w:val="00EA1130"/>
    <w:rsid w:val="00EA1654"/>
    <w:rsid w:val="00EA2738"/>
    <w:rsid w:val="00EA29CC"/>
    <w:rsid w:val="00EA3562"/>
    <w:rsid w:val="00EA3928"/>
    <w:rsid w:val="00EA4672"/>
    <w:rsid w:val="00EA4E30"/>
    <w:rsid w:val="00EA519E"/>
    <w:rsid w:val="00EA5C60"/>
    <w:rsid w:val="00EA70FF"/>
    <w:rsid w:val="00EB0659"/>
    <w:rsid w:val="00EB06FC"/>
    <w:rsid w:val="00EB0BAD"/>
    <w:rsid w:val="00EB2C18"/>
    <w:rsid w:val="00EB313F"/>
    <w:rsid w:val="00EB505D"/>
    <w:rsid w:val="00EB50FF"/>
    <w:rsid w:val="00EB531A"/>
    <w:rsid w:val="00EB55BD"/>
    <w:rsid w:val="00EB581D"/>
    <w:rsid w:val="00EB618B"/>
    <w:rsid w:val="00EB6FE9"/>
    <w:rsid w:val="00EC03F7"/>
    <w:rsid w:val="00EC0430"/>
    <w:rsid w:val="00EC06E7"/>
    <w:rsid w:val="00EC1453"/>
    <w:rsid w:val="00EC1AEB"/>
    <w:rsid w:val="00EC1CF3"/>
    <w:rsid w:val="00EC2380"/>
    <w:rsid w:val="00EC286C"/>
    <w:rsid w:val="00EC292F"/>
    <w:rsid w:val="00EC45FD"/>
    <w:rsid w:val="00EC468D"/>
    <w:rsid w:val="00EC486D"/>
    <w:rsid w:val="00EC76B2"/>
    <w:rsid w:val="00ED048B"/>
    <w:rsid w:val="00ED1734"/>
    <w:rsid w:val="00ED174A"/>
    <w:rsid w:val="00ED180D"/>
    <w:rsid w:val="00ED1ECD"/>
    <w:rsid w:val="00ED2918"/>
    <w:rsid w:val="00ED3E07"/>
    <w:rsid w:val="00ED61F6"/>
    <w:rsid w:val="00ED7C65"/>
    <w:rsid w:val="00ED7C7F"/>
    <w:rsid w:val="00ED7F6A"/>
    <w:rsid w:val="00EE05B0"/>
    <w:rsid w:val="00EE24C5"/>
    <w:rsid w:val="00EE2771"/>
    <w:rsid w:val="00EE2E7E"/>
    <w:rsid w:val="00EE307F"/>
    <w:rsid w:val="00EE32F9"/>
    <w:rsid w:val="00EE3454"/>
    <w:rsid w:val="00EE3705"/>
    <w:rsid w:val="00EE4D99"/>
    <w:rsid w:val="00EE4E7E"/>
    <w:rsid w:val="00EE73F2"/>
    <w:rsid w:val="00EF0F40"/>
    <w:rsid w:val="00EF197C"/>
    <w:rsid w:val="00EF1A3C"/>
    <w:rsid w:val="00EF495A"/>
    <w:rsid w:val="00EF49A7"/>
    <w:rsid w:val="00EF4CEF"/>
    <w:rsid w:val="00EF4E7D"/>
    <w:rsid w:val="00EF52F6"/>
    <w:rsid w:val="00EF5760"/>
    <w:rsid w:val="00EF5F4C"/>
    <w:rsid w:val="00EF6911"/>
    <w:rsid w:val="00F01111"/>
    <w:rsid w:val="00F0288D"/>
    <w:rsid w:val="00F02A43"/>
    <w:rsid w:val="00F0354F"/>
    <w:rsid w:val="00F0398B"/>
    <w:rsid w:val="00F0535B"/>
    <w:rsid w:val="00F05448"/>
    <w:rsid w:val="00F059A3"/>
    <w:rsid w:val="00F06F4A"/>
    <w:rsid w:val="00F127AC"/>
    <w:rsid w:val="00F131A1"/>
    <w:rsid w:val="00F153C5"/>
    <w:rsid w:val="00F1580C"/>
    <w:rsid w:val="00F15ED0"/>
    <w:rsid w:val="00F164F3"/>
    <w:rsid w:val="00F16D0F"/>
    <w:rsid w:val="00F17C67"/>
    <w:rsid w:val="00F20F57"/>
    <w:rsid w:val="00F217EB"/>
    <w:rsid w:val="00F21A35"/>
    <w:rsid w:val="00F21B86"/>
    <w:rsid w:val="00F22AA5"/>
    <w:rsid w:val="00F23B62"/>
    <w:rsid w:val="00F23CB2"/>
    <w:rsid w:val="00F23D8C"/>
    <w:rsid w:val="00F24F47"/>
    <w:rsid w:val="00F2762C"/>
    <w:rsid w:val="00F30D7E"/>
    <w:rsid w:val="00F31217"/>
    <w:rsid w:val="00F31E22"/>
    <w:rsid w:val="00F3216B"/>
    <w:rsid w:val="00F32D73"/>
    <w:rsid w:val="00F33CC8"/>
    <w:rsid w:val="00F34045"/>
    <w:rsid w:val="00F3421F"/>
    <w:rsid w:val="00F35595"/>
    <w:rsid w:val="00F35AE3"/>
    <w:rsid w:val="00F35F5E"/>
    <w:rsid w:val="00F367A0"/>
    <w:rsid w:val="00F404F6"/>
    <w:rsid w:val="00F40CBD"/>
    <w:rsid w:val="00F42550"/>
    <w:rsid w:val="00F4293D"/>
    <w:rsid w:val="00F438CB"/>
    <w:rsid w:val="00F4464A"/>
    <w:rsid w:val="00F447B9"/>
    <w:rsid w:val="00F45E20"/>
    <w:rsid w:val="00F463F2"/>
    <w:rsid w:val="00F4725E"/>
    <w:rsid w:val="00F47C1E"/>
    <w:rsid w:val="00F47EAC"/>
    <w:rsid w:val="00F505A1"/>
    <w:rsid w:val="00F51A2E"/>
    <w:rsid w:val="00F520D4"/>
    <w:rsid w:val="00F530B2"/>
    <w:rsid w:val="00F53856"/>
    <w:rsid w:val="00F54703"/>
    <w:rsid w:val="00F55381"/>
    <w:rsid w:val="00F55719"/>
    <w:rsid w:val="00F557CD"/>
    <w:rsid w:val="00F56579"/>
    <w:rsid w:val="00F56721"/>
    <w:rsid w:val="00F57669"/>
    <w:rsid w:val="00F60B9F"/>
    <w:rsid w:val="00F637DB"/>
    <w:rsid w:val="00F63B4D"/>
    <w:rsid w:val="00F66762"/>
    <w:rsid w:val="00F67FB3"/>
    <w:rsid w:val="00F70CE0"/>
    <w:rsid w:val="00F71D7A"/>
    <w:rsid w:val="00F720DC"/>
    <w:rsid w:val="00F723B1"/>
    <w:rsid w:val="00F72DF9"/>
    <w:rsid w:val="00F7306D"/>
    <w:rsid w:val="00F73D2C"/>
    <w:rsid w:val="00F74B4D"/>
    <w:rsid w:val="00F75A3C"/>
    <w:rsid w:val="00F778DD"/>
    <w:rsid w:val="00F805A4"/>
    <w:rsid w:val="00F80D58"/>
    <w:rsid w:val="00F81107"/>
    <w:rsid w:val="00F821AD"/>
    <w:rsid w:val="00F82368"/>
    <w:rsid w:val="00F82706"/>
    <w:rsid w:val="00F82B60"/>
    <w:rsid w:val="00F82D8F"/>
    <w:rsid w:val="00F8373D"/>
    <w:rsid w:val="00F83B81"/>
    <w:rsid w:val="00F83C1F"/>
    <w:rsid w:val="00F8493D"/>
    <w:rsid w:val="00F84E87"/>
    <w:rsid w:val="00F865C4"/>
    <w:rsid w:val="00F867C4"/>
    <w:rsid w:val="00F92135"/>
    <w:rsid w:val="00F92664"/>
    <w:rsid w:val="00F929AD"/>
    <w:rsid w:val="00F940E0"/>
    <w:rsid w:val="00F943C8"/>
    <w:rsid w:val="00F9665A"/>
    <w:rsid w:val="00F96E3E"/>
    <w:rsid w:val="00F97B29"/>
    <w:rsid w:val="00FA0992"/>
    <w:rsid w:val="00FA1BE3"/>
    <w:rsid w:val="00FA1CF2"/>
    <w:rsid w:val="00FA24E8"/>
    <w:rsid w:val="00FA5289"/>
    <w:rsid w:val="00FA56A2"/>
    <w:rsid w:val="00FA7D9A"/>
    <w:rsid w:val="00FB2530"/>
    <w:rsid w:val="00FB2682"/>
    <w:rsid w:val="00FB36F9"/>
    <w:rsid w:val="00FB446A"/>
    <w:rsid w:val="00FB5186"/>
    <w:rsid w:val="00FB74F6"/>
    <w:rsid w:val="00FB7AFF"/>
    <w:rsid w:val="00FC00AE"/>
    <w:rsid w:val="00FC0147"/>
    <w:rsid w:val="00FC01A0"/>
    <w:rsid w:val="00FC10CF"/>
    <w:rsid w:val="00FC17CB"/>
    <w:rsid w:val="00FC310F"/>
    <w:rsid w:val="00FC3F8B"/>
    <w:rsid w:val="00FC4C0C"/>
    <w:rsid w:val="00FC4FF3"/>
    <w:rsid w:val="00FC5770"/>
    <w:rsid w:val="00FC6442"/>
    <w:rsid w:val="00FC6F78"/>
    <w:rsid w:val="00FC71B2"/>
    <w:rsid w:val="00FD4DC8"/>
    <w:rsid w:val="00FD6484"/>
    <w:rsid w:val="00FD6555"/>
    <w:rsid w:val="00FD6B15"/>
    <w:rsid w:val="00FD6F2E"/>
    <w:rsid w:val="00FE1989"/>
    <w:rsid w:val="00FE28E6"/>
    <w:rsid w:val="00FE3791"/>
    <w:rsid w:val="00FE3921"/>
    <w:rsid w:val="00FE4C1C"/>
    <w:rsid w:val="00FE6AF1"/>
    <w:rsid w:val="00FE7BA1"/>
    <w:rsid w:val="00FF04A3"/>
    <w:rsid w:val="00FF244C"/>
    <w:rsid w:val="00FF2DAA"/>
    <w:rsid w:val="00FF3DD1"/>
    <w:rsid w:val="00FF56A3"/>
    <w:rsid w:val="00FF5D9B"/>
    <w:rsid w:val="00FF600F"/>
    <w:rsid w:val="00FF68B6"/>
    <w:rsid w:val="00FF70F1"/>
    <w:rsid w:val="00FF7378"/>
    <w:rsid w:val="00FF7C5E"/>
    <w:rsid w:val="00FF7D6B"/>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D9FE9E"/>
  <w15:chartTrackingRefBased/>
  <w15:docId w15:val="{FBCD020E-6AB6-4A43-94AF-1A2AB834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E70"/>
    <w:rPr>
      <w:sz w:val="28"/>
      <w:szCs w:val="28"/>
    </w:rPr>
  </w:style>
  <w:style w:type="paragraph" w:styleId="Heading3">
    <w:name w:val="heading 3"/>
    <w:basedOn w:val="Normal"/>
    <w:next w:val="Normal"/>
    <w:link w:val="Heading3Char"/>
    <w:semiHidden/>
    <w:unhideWhenUsed/>
    <w:qFormat/>
    <w:rsid w:val="007543A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34713E"/>
    <w:pPr>
      <w:keepNext/>
      <w:jc w:val="center"/>
      <w:outlineLvl w:val="3"/>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7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34713E"/>
    <w:rPr>
      <w:b/>
      <w:bCs/>
      <w:sz w:val="30"/>
      <w:szCs w:val="28"/>
      <w:lang w:val="en-US" w:eastAsia="en-US" w:bidi="ar-SA"/>
    </w:rPr>
  </w:style>
  <w:style w:type="paragraph" w:customStyle="1" w:styleId="DefaultParagraphFontParaCharCharCharCharChar">
    <w:name w:val="Default Paragraph Font Para Char Char Char Char Char"/>
    <w:autoRedefine/>
    <w:rsid w:val="00D53A59"/>
    <w:pPr>
      <w:tabs>
        <w:tab w:val="left" w:pos="1152"/>
      </w:tabs>
      <w:spacing w:before="120" w:after="120" w:line="312" w:lineRule="auto"/>
    </w:pPr>
    <w:rPr>
      <w:rFonts w:ascii="Arial" w:hAnsi="Arial" w:cs="Arial"/>
      <w:sz w:val="26"/>
      <w:szCs w:val="26"/>
    </w:rPr>
  </w:style>
  <w:style w:type="paragraph" w:styleId="BodyTextIndent2">
    <w:name w:val="Body Text Indent 2"/>
    <w:basedOn w:val="Normal"/>
    <w:link w:val="BodyTextIndent2Char"/>
    <w:rsid w:val="00916784"/>
    <w:pPr>
      <w:ind w:firstLine="720"/>
      <w:jc w:val="both"/>
    </w:pPr>
    <w:rPr>
      <w:szCs w:val="24"/>
    </w:rPr>
  </w:style>
  <w:style w:type="paragraph" w:customStyle="1" w:styleId="CharCharCharCharCharCharCharChar1CharCharCharChar">
    <w:name w:val="Char Char Char Char Char Char Char Char1 Char Char Char Char"/>
    <w:basedOn w:val="Normal"/>
    <w:rsid w:val="000700D1"/>
    <w:pPr>
      <w:spacing w:after="160" w:line="240" w:lineRule="exact"/>
    </w:pPr>
    <w:rPr>
      <w:rFonts w:ascii="Verdana" w:hAnsi="Verdana"/>
      <w:sz w:val="20"/>
      <w:szCs w:val="20"/>
    </w:rPr>
  </w:style>
  <w:style w:type="paragraph" w:styleId="BodyText">
    <w:name w:val="Body Text"/>
    <w:basedOn w:val="Normal"/>
    <w:rsid w:val="000700D1"/>
    <w:pPr>
      <w:spacing w:line="360" w:lineRule="auto"/>
      <w:jc w:val="both"/>
    </w:pPr>
    <w:rPr>
      <w:szCs w:val="24"/>
    </w:rPr>
  </w:style>
  <w:style w:type="character" w:customStyle="1" w:styleId="apple-style-span">
    <w:name w:val="apple-style-span"/>
    <w:basedOn w:val="DefaultParagraphFont"/>
    <w:rsid w:val="003E33D5"/>
  </w:style>
  <w:style w:type="paragraph" w:styleId="BodyTextIndent">
    <w:name w:val="Body Text Indent"/>
    <w:basedOn w:val="Normal"/>
    <w:link w:val="BodyTextIndentChar"/>
    <w:rsid w:val="007F4C0E"/>
    <w:pPr>
      <w:ind w:firstLine="707"/>
      <w:jc w:val="both"/>
    </w:pPr>
    <w:rPr>
      <w:iCs/>
      <w:sz w:val="26"/>
      <w:szCs w:val="24"/>
    </w:rPr>
  </w:style>
  <w:style w:type="paragraph" w:customStyle="1" w:styleId="CharCharCharChar">
    <w:name w:val="Char Char Char Char"/>
    <w:basedOn w:val="Normal"/>
    <w:rsid w:val="007F4C0E"/>
    <w:pPr>
      <w:spacing w:after="160" w:line="240" w:lineRule="exact"/>
    </w:pPr>
    <w:rPr>
      <w:rFonts w:ascii="Verdana" w:hAnsi="Verdana"/>
      <w:sz w:val="20"/>
      <w:szCs w:val="20"/>
    </w:rPr>
  </w:style>
  <w:style w:type="paragraph" w:styleId="BodyTextIndent3">
    <w:name w:val="Body Text Indent 3"/>
    <w:basedOn w:val="Normal"/>
    <w:link w:val="BodyTextIndent3Char"/>
    <w:rsid w:val="00A663A6"/>
    <w:pPr>
      <w:spacing w:after="120"/>
      <w:ind w:left="360"/>
    </w:pPr>
    <w:rPr>
      <w:sz w:val="16"/>
      <w:szCs w:val="16"/>
    </w:rPr>
  </w:style>
  <w:style w:type="character" w:customStyle="1" w:styleId="BodyTextIndent3Char">
    <w:name w:val="Body Text Indent 3 Char"/>
    <w:link w:val="BodyTextIndent3"/>
    <w:rsid w:val="00A663A6"/>
    <w:rPr>
      <w:sz w:val="16"/>
      <w:szCs w:val="16"/>
    </w:rPr>
  </w:style>
  <w:style w:type="character" w:customStyle="1" w:styleId="st">
    <w:name w:val="st"/>
    <w:rsid w:val="00717DD8"/>
  </w:style>
  <w:style w:type="character" w:styleId="Emphasis">
    <w:name w:val="Emphasis"/>
    <w:uiPriority w:val="20"/>
    <w:qFormat/>
    <w:rsid w:val="00717DD8"/>
    <w:rPr>
      <w:i/>
      <w:iCs/>
    </w:rPr>
  </w:style>
  <w:style w:type="paragraph" w:styleId="BodyText2">
    <w:name w:val="Body Text 2"/>
    <w:aliases w:val=" Char Char Char"/>
    <w:basedOn w:val="Normal"/>
    <w:link w:val="BodyText2Char"/>
    <w:rsid w:val="00FF5D9B"/>
    <w:pPr>
      <w:spacing w:after="120" w:line="480" w:lineRule="auto"/>
    </w:pPr>
  </w:style>
  <w:style w:type="character" w:customStyle="1" w:styleId="BodyText2Char">
    <w:name w:val="Body Text 2 Char"/>
    <w:aliases w:val=" Char Char Char Char"/>
    <w:link w:val="BodyText2"/>
    <w:rsid w:val="00FF5D9B"/>
    <w:rPr>
      <w:sz w:val="28"/>
      <w:szCs w:val="28"/>
    </w:rPr>
  </w:style>
  <w:style w:type="paragraph" w:styleId="NormalWeb">
    <w:name w:val="Normal (Web)"/>
    <w:basedOn w:val="Normal"/>
    <w:link w:val="NormalWebChar"/>
    <w:uiPriority w:val="99"/>
    <w:rsid w:val="00D4005E"/>
    <w:rPr>
      <w:sz w:val="24"/>
      <w:szCs w:val="24"/>
    </w:rPr>
  </w:style>
  <w:style w:type="character" w:customStyle="1" w:styleId="BodyTextIndentChar">
    <w:name w:val="Body Text Indent Char"/>
    <w:link w:val="BodyTextIndent"/>
    <w:rsid w:val="00F47EAC"/>
    <w:rPr>
      <w:iCs/>
      <w:sz w:val="26"/>
      <w:szCs w:val="24"/>
      <w:lang w:val="en-US" w:eastAsia="en-US"/>
    </w:rPr>
  </w:style>
  <w:style w:type="paragraph" w:styleId="BalloonText">
    <w:name w:val="Balloon Text"/>
    <w:basedOn w:val="Normal"/>
    <w:link w:val="BalloonTextChar"/>
    <w:rsid w:val="009C381E"/>
    <w:rPr>
      <w:rFonts w:ascii="Tahoma" w:hAnsi="Tahoma" w:cs="Tahoma"/>
      <w:sz w:val="16"/>
      <w:szCs w:val="16"/>
    </w:rPr>
  </w:style>
  <w:style w:type="character" w:customStyle="1" w:styleId="BalloonTextChar">
    <w:name w:val="Balloon Text Char"/>
    <w:link w:val="BalloonText"/>
    <w:rsid w:val="009C381E"/>
    <w:rPr>
      <w:rFonts w:ascii="Tahoma" w:hAnsi="Tahoma" w:cs="Tahoma"/>
      <w:sz w:val="16"/>
      <w:szCs w:val="16"/>
    </w:rPr>
  </w:style>
  <w:style w:type="paragraph" w:styleId="Header">
    <w:name w:val="header"/>
    <w:basedOn w:val="Normal"/>
    <w:link w:val="HeaderChar"/>
    <w:uiPriority w:val="99"/>
    <w:rsid w:val="0017111A"/>
    <w:pPr>
      <w:tabs>
        <w:tab w:val="center" w:pos="4680"/>
        <w:tab w:val="right" w:pos="9360"/>
      </w:tabs>
    </w:pPr>
  </w:style>
  <w:style w:type="character" w:customStyle="1" w:styleId="HeaderChar">
    <w:name w:val="Header Char"/>
    <w:link w:val="Header"/>
    <w:uiPriority w:val="99"/>
    <w:rsid w:val="0017111A"/>
    <w:rPr>
      <w:sz w:val="28"/>
      <w:szCs w:val="28"/>
    </w:rPr>
  </w:style>
  <w:style w:type="paragraph" w:styleId="Footer">
    <w:name w:val="footer"/>
    <w:basedOn w:val="Normal"/>
    <w:link w:val="FooterChar"/>
    <w:uiPriority w:val="99"/>
    <w:rsid w:val="0017111A"/>
    <w:pPr>
      <w:tabs>
        <w:tab w:val="center" w:pos="4680"/>
        <w:tab w:val="right" w:pos="9360"/>
      </w:tabs>
    </w:pPr>
  </w:style>
  <w:style w:type="character" w:customStyle="1" w:styleId="FooterChar">
    <w:name w:val="Footer Char"/>
    <w:link w:val="Footer"/>
    <w:uiPriority w:val="99"/>
    <w:rsid w:val="0017111A"/>
    <w:rPr>
      <w:sz w:val="28"/>
      <w:szCs w:val="28"/>
    </w:rPr>
  </w:style>
  <w:style w:type="character" w:customStyle="1" w:styleId="BodyTextIndent2Char">
    <w:name w:val="Body Text Indent 2 Char"/>
    <w:link w:val="BodyTextIndent2"/>
    <w:locked/>
    <w:rsid w:val="0022557B"/>
    <w:rPr>
      <w:sz w:val="28"/>
      <w:szCs w:val="24"/>
    </w:rPr>
  </w:style>
  <w:style w:type="character" w:customStyle="1" w:styleId="NormalWebChar">
    <w:name w:val="Normal (Web) Char"/>
    <w:link w:val="NormalWeb"/>
    <w:rsid w:val="001A0C1E"/>
    <w:rPr>
      <w:sz w:val="24"/>
      <w:szCs w:val="24"/>
    </w:rPr>
  </w:style>
  <w:style w:type="character" w:customStyle="1" w:styleId="Bodytext0">
    <w:name w:val="Body text_"/>
    <w:link w:val="BodyText1"/>
    <w:rsid w:val="00B6781F"/>
    <w:rPr>
      <w:sz w:val="28"/>
      <w:szCs w:val="28"/>
    </w:rPr>
  </w:style>
  <w:style w:type="paragraph" w:customStyle="1" w:styleId="BodyText1">
    <w:name w:val="Body Text1"/>
    <w:basedOn w:val="Normal"/>
    <w:link w:val="Bodytext0"/>
    <w:qFormat/>
    <w:rsid w:val="00B6781F"/>
    <w:pPr>
      <w:widowControl w:val="0"/>
      <w:spacing w:after="60"/>
      <w:ind w:firstLine="400"/>
    </w:pPr>
  </w:style>
  <w:style w:type="paragraph" w:customStyle="1" w:styleId="Char">
    <w:name w:val="Char"/>
    <w:basedOn w:val="Normal"/>
    <w:rsid w:val="00B01E52"/>
    <w:pPr>
      <w:spacing w:after="160" w:line="240" w:lineRule="exact"/>
    </w:pPr>
    <w:rPr>
      <w:rFonts w:ascii="Verdana" w:eastAsia="MS Mincho" w:hAnsi="Verdana" w:cs="Verdana"/>
      <w:szCs w:val="20"/>
    </w:rPr>
  </w:style>
  <w:style w:type="character" w:styleId="Hyperlink">
    <w:name w:val="Hyperlink"/>
    <w:rsid w:val="000378E3"/>
    <w:rPr>
      <w:color w:val="0563C1"/>
      <w:u w:val="single"/>
    </w:rPr>
  </w:style>
  <w:style w:type="character" w:styleId="UnresolvedMention">
    <w:name w:val="Unresolved Mention"/>
    <w:uiPriority w:val="99"/>
    <w:semiHidden/>
    <w:unhideWhenUsed/>
    <w:rsid w:val="000378E3"/>
    <w:rPr>
      <w:color w:val="605E5C"/>
      <w:shd w:val="clear" w:color="auto" w:fill="E1DFDD"/>
    </w:rPr>
  </w:style>
  <w:style w:type="character" w:styleId="Strong">
    <w:name w:val="Strong"/>
    <w:uiPriority w:val="22"/>
    <w:qFormat/>
    <w:rsid w:val="002966CA"/>
    <w:rPr>
      <w:b/>
      <w:bCs/>
    </w:rPr>
  </w:style>
  <w:style w:type="character" w:customStyle="1" w:styleId="Heading3Char">
    <w:name w:val="Heading 3 Char"/>
    <w:link w:val="Heading3"/>
    <w:semiHidden/>
    <w:rsid w:val="007543A5"/>
    <w:rPr>
      <w:rFonts w:ascii="Calibri Light" w:eastAsia="Times New Roman" w:hAnsi="Calibri Light" w:cs="Times New Roman"/>
      <w:b/>
      <w:bCs/>
      <w:sz w:val="26"/>
      <w:szCs w:val="26"/>
    </w:rPr>
  </w:style>
  <w:style w:type="character" w:customStyle="1" w:styleId="fontstyle01">
    <w:name w:val="fontstyle01"/>
    <w:rsid w:val="002D0AF9"/>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D36F3C"/>
    <w:pPr>
      <w:ind w:left="720"/>
      <w:contextualSpacing/>
    </w:pPr>
    <w:rPr>
      <w:sz w:val="24"/>
      <w:szCs w:val="24"/>
    </w:rPr>
  </w:style>
  <w:style w:type="paragraph" w:styleId="FootnoteText">
    <w:name w:val="footnote text"/>
    <w:basedOn w:val="Normal"/>
    <w:link w:val="FootnoteTextChar"/>
    <w:uiPriority w:val="99"/>
    <w:unhideWhenUsed/>
    <w:rsid w:val="00435A84"/>
    <w:rPr>
      <w:sz w:val="20"/>
      <w:szCs w:val="20"/>
    </w:rPr>
  </w:style>
  <w:style w:type="character" w:customStyle="1" w:styleId="FootnoteTextChar">
    <w:name w:val="Footnote Text Char"/>
    <w:basedOn w:val="DefaultParagraphFont"/>
    <w:link w:val="FootnoteText"/>
    <w:uiPriority w:val="99"/>
    <w:rsid w:val="00435A84"/>
  </w:style>
  <w:style w:type="character" w:styleId="FootnoteReference">
    <w:name w:val="footnote reference"/>
    <w:basedOn w:val="DefaultParagraphFont"/>
    <w:uiPriority w:val="99"/>
    <w:unhideWhenUsed/>
    <w:rsid w:val="00435A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695">
      <w:bodyDiv w:val="1"/>
      <w:marLeft w:val="0"/>
      <w:marRight w:val="0"/>
      <w:marTop w:val="0"/>
      <w:marBottom w:val="0"/>
      <w:divBdr>
        <w:top w:val="none" w:sz="0" w:space="0" w:color="auto"/>
        <w:left w:val="none" w:sz="0" w:space="0" w:color="auto"/>
        <w:bottom w:val="none" w:sz="0" w:space="0" w:color="auto"/>
        <w:right w:val="none" w:sz="0" w:space="0" w:color="auto"/>
      </w:divBdr>
    </w:div>
    <w:div w:id="179859758">
      <w:bodyDiv w:val="1"/>
      <w:marLeft w:val="0"/>
      <w:marRight w:val="0"/>
      <w:marTop w:val="0"/>
      <w:marBottom w:val="0"/>
      <w:divBdr>
        <w:top w:val="none" w:sz="0" w:space="0" w:color="auto"/>
        <w:left w:val="none" w:sz="0" w:space="0" w:color="auto"/>
        <w:bottom w:val="none" w:sz="0" w:space="0" w:color="auto"/>
        <w:right w:val="none" w:sz="0" w:space="0" w:color="auto"/>
      </w:divBdr>
    </w:div>
    <w:div w:id="293025000">
      <w:bodyDiv w:val="1"/>
      <w:marLeft w:val="0"/>
      <w:marRight w:val="0"/>
      <w:marTop w:val="0"/>
      <w:marBottom w:val="0"/>
      <w:divBdr>
        <w:top w:val="none" w:sz="0" w:space="0" w:color="auto"/>
        <w:left w:val="none" w:sz="0" w:space="0" w:color="auto"/>
        <w:bottom w:val="none" w:sz="0" w:space="0" w:color="auto"/>
        <w:right w:val="none" w:sz="0" w:space="0" w:color="auto"/>
      </w:divBdr>
    </w:div>
    <w:div w:id="297153966">
      <w:bodyDiv w:val="1"/>
      <w:marLeft w:val="0"/>
      <w:marRight w:val="0"/>
      <w:marTop w:val="0"/>
      <w:marBottom w:val="0"/>
      <w:divBdr>
        <w:top w:val="none" w:sz="0" w:space="0" w:color="auto"/>
        <w:left w:val="none" w:sz="0" w:space="0" w:color="auto"/>
        <w:bottom w:val="none" w:sz="0" w:space="0" w:color="auto"/>
        <w:right w:val="none" w:sz="0" w:space="0" w:color="auto"/>
      </w:divBdr>
    </w:div>
    <w:div w:id="466900255">
      <w:bodyDiv w:val="1"/>
      <w:marLeft w:val="0"/>
      <w:marRight w:val="0"/>
      <w:marTop w:val="0"/>
      <w:marBottom w:val="0"/>
      <w:divBdr>
        <w:top w:val="none" w:sz="0" w:space="0" w:color="auto"/>
        <w:left w:val="none" w:sz="0" w:space="0" w:color="auto"/>
        <w:bottom w:val="none" w:sz="0" w:space="0" w:color="auto"/>
        <w:right w:val="none" w:sz="0" w:space="0" w:color="auto"/>
      </w:divBdr>
    </w:div>
    <w:div w:id="516848876">
      <w:bodyDiv w:val="1"/>
      <w:marLeft w:val="0"/>
      <w:marRight w:val="0"/>
      <w:marTop w:val="0"/>
      <w:marBottom w:val="0"/>
      <w:divBdr>
        <w:top w:val="none" w:sz="0" w:space="0" w:color="auto"/>
        <w:left w:val="none" w:sz="0" w:space="0" w:color="auto"/>
        <w:bottom w:val="none" w:sz="0" w:space="0" w:color="auto"/>
        <w:right w:val="none" w:sz="0" w:space="0" w:color="auto"/>
      </w:divBdr>
    </w:div>
    <w:div w:id="623465579">
      <w:bodyDiv w:val="1"/>
      <w:marLeft w:val="0"/>
      <w:marRight w:val="0"/>
      <w:marTop w:val="0"/>
      <w:marBottom w:val="0"/>
      <w:divBdr>
        <w:top w:val="none" w:sz="0" w:space="0" w:color="auto"/>
        <w:left w:val="none" w:sz="0" w:space="0" w:color="auto"/>
        <w:bottom w:val="none" w:sz="0" w:space="0" w:color="auto"/>
        <w:right w:val="none" w:sz="0" w:space="0" w:color="auto"/>
      </w:divBdr>
    </w:div>
    <w:div w:id="630670891">
      <w:bodyDiv w:val="1"/>
      <w:marLeft w:val="0"/>
      <w:marRight w:val="0"/>
      <w:marTop w:val="0"/>
      <w:marBottom w:val="0"/>
      <w:divBdr>
        <w:top w:val="none" w:sz="0" w:space="0" w:color="auto"/>
        <w:left w:val="none" w:sz="0" w:space="0" w:color="auto"/>
        <w:bottom w:val="none" w:sz="0" w:space="0" w:color="auto"/>
        <w:right w:val="none" w:sz="0" w:space="0" w:color="auto"/>
      </w:divBdr>
      <w:divsChild>
        <w:div w:id="3402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501167011">
          <w:marLeft w:val="0"/>
          <w:marRight w:val="0"/>
          <w:marTop w:val="0"/>
          <w:marBottom w:val="0"/>
          <w:divBdr>
            <w:top w:val="none" w:sz="0" w:space="0" w:color="auto"/>
            <w:left w:val="none" w:sz="0" w:space="0" w:color="auto"/>
            <w:bottom w:val="none" w:sz="0" w:space="0" w:color="auto"/>
            <w:right w:val="none" w:sz="0" w:space="0" w:color="auto"/>
          </w:divBdr>
          <w:divsChild>
            <w:div w:id="947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13607">
      <w:bodyDiv w:val="1"/>
      <w:marLeft w:val="0"/>
      <w:marRight w:val="0"/>
      <w:marTop w:val="0"/>
      <w:marBottom w:val="0"/>
      <w:divBdr>
        <w:top w:val="none" w:sz="0" w:space="0" w:color="auto"/>
        <w:left w:val="none" w:sz="0" w:space="0" w:color="auto"/>
        <w:bottom w:val="none" w:sz="0" w:space="0" w:color="auto"/>
        <w:right w:val="none" w:sz="0" w:space="0" w:color="auto"/>
      </w:divBdr>
    </w:div>
    <w:div w:id="710805748">
      <w:bodyDiv w:val="1"/>
      <w:marLeft w:val="0"/>
      <w:marRight w:val="0"/>
      <w:marTop w:val="0"/>
      <w:marBottom w:val="0"/>
      <w:divBdr>
        <w:top w:val="none" w:sz="0" w:space="0" w:color="auto"/>
        <w:left w:val="none" w:sz="0" w:space="0" w:color="auto"/>
        <w:bottom w:val="none" w:sz="0" w:space="0" w:color="auto"/>
        <w:right w:val="none" w:sz="0" w:space="0" w:color="auto"/>
      </w:divBdr>
    </w:div>
    <w:div w:id="794710955">
      <w:bodyDiv w:val="1"/>
      <w:marLeft w:val="0"/>
      <w:marRight w:val="0"/>
      <w:marTop w:val="0"/>
      <w:marBottom w:val="0"/>
      <w:divBdr>
        <w:top w:val="none" w:sz="0" w:space="0" w:color="auto"/>
        <w:left w:val="none" w:sz="0" w:space="0" w:color="auto"/>
        <w:bottom w:val="none" w:sz="0" w:space="0" w:color="auto"/>
        <w:right w:val="none" w:sz="0" w:space="0" w:color="auto"/>
      </w:divBdr>
      <w:divsChild>
        <w:div w:id="521557670">
          <w:marLeft w:val="0"/>
          <w:marRight w:val="0"/>
          <w:marTop w:val="0"/>
          <w:marBottom w:val="0"/>
          <w:divBdr>
            <w:top w:val="none" w:sz="0" w:space="0" w:color="auto"/>
            <w:left w:val="none" w:sz="0" w:space="0" w:color="auto"/>
            <w:bottom w:val="none" w:sz="0" w:space="0" w:color="auto"/>
            <w:right w:val="none" w:sz="0" w:space="0" w:color="auto"/>
          </w:divBdr>
          <w:divsChild>
            <w:div w:id="1850483979">
              <w:marLeft w:val="0"/>
              <w:marRight w:val="0"/>
              <w:marTop w:val="0"/>
              <w:marBottom w:val="0"/>
              <w:divBdr>
                <w:top w:val="none" w:sz="0" w:space="0" w:color="auto"/>
                <w:left w:val="none" w:sz="0" w:space="0" w:color="auto"/>
                <w:bottom w:val="none" w:sz="0" w:space="0" w:color="auto"/>
                <w:right w:val="none" w:sz="0" w:space="0" w:color="auto"/>
              </w:divBdr>
              <w:divsChild>
                <w:div w:id="324013363">
                  <w:marLeft w:val="0"/>
                  <w:marRight w:val="0"/>
                  <w:marTop w:val="0"/>
                  <w:marBottom w:val="0"/>
                  <w:divBdr>
                    <w:top w:val="none" w:sz="0" w:space="0" w:color="auto"/>
                    <w:left w:val="none" w:sz="0" w:space="0" w:color="auto"/>
                    <w:bottom w:val="none" w:sz="0" w:space="0" w:color="auto"/>
                    <w:right w:val="none" w:sz="0" w:space="0" w:color="auto"/>
                  </w:divBdr>
                  <w:divsChild>
                    <w:div w:id="2006934789">
                      <w:marLeft w:val="0"/>
                      <w:marRight w:val="0"/>
                      <w:marTop w:val="0"/>
                      <w:marBottom w:val="0"/>
                      <w:divBdr>
                        <w:top w:val="none" w:sz="0" w:space="0" w:color="auto"/>
                        <w:left w:val="none" w:sz="0" w:space="0" w:color="auto"/>
                        <w:bottom w:val="none" w:sz="0" w:space="0" w:color="auto"/>
                        <w:right w:val="none" w:sz="0" w:space="0" w:color="auto"/>
                      </w:divBdr>
                      <w:divsChild>
                        <w:div w:id="849216408">
                          <w:marLeft w:val="0"/>
                          <w:marRight w:val="0"/>
                          <w:marTop w:val="100"/>
                          <w:marBottom w:val="100"/>
                          <w:divBdr>
                            <w:top w:val="none" w:sz="0" w:space="0" w:color="auto"/>
                            <w:left w:val="none" w:sz="0" w:space="0" w:color="auto"/>
                            <w:bottom w:val="none" w:sz="0" w:space="0" w:color="auto"/>
                            <w:right w:val="none" w:sz="0" w:space="0" w:color="auto"/>
                          </w:divBdr>
                          <w:divsChild>
                            <w:div w:id="219051301">
                              <w:marLeft w:val="0"/>
                              <w:marRight w:val="0"/>
                              <w:marTop w:val="0"/>
                              <w:marBottom w:val="0"/>
                              <w:divBdr>
                                <w:top w:val="none" w:sz="0" w:space="0" w:color="auto"/>
                                <w:left w:val="none" w:sz="0" w:space="0" w:color="auto"/>
                                <w:bottom w:val="none" w:sz="0" w:space="0" w:color="auto"/>
                                <w:right w:val="none" w:sz="0" w:space="0" w:color="auto"/>
                              </w:divBdr>
                              <w:divsChild>
                                <w:div w:id="1801268818">
                                  <w:marLeft w:val="0"/>
                                  <w:marRight w:val="0"/>
                                  <w:marTop w:val="0"/>
                                  <w:marBottom w:val="0"/>
                                  <w:divBdr>
                                    <w:top w:val="none" w:sz="0" w:space="0" w:color="auto"/>
                                    <w:left w:val="none" w:sz="0" w:space="0" w:color="auto"/>
                                    <w:bottom w:val="none" w:sz="0" w:space="0" w:color="auto"/>
                                    <w:right w:val="none" w:sz="0" w:space="0" w:color="auto"/>
                                  </w:divBdr>
                                  <w:divsChild>
                                    <w:div w:id="352070488">
                                      <w:marLeft w:val="38"/>
                                      <w:marRight w:val="0"/>
                                      <w:marTop w:val="0"/>
                                      <w:marBottom w:val="0"/>
                                      <w:divBdr>
                                        <w:top w:val="none" w:sz="0" w:space="0" w:color="auto"/>
                                        <w:left w:val="none" w:sz="0" w:space="0" w:color="auto"/>
                                        <w:bottom w:val="none" w:sz="0" w:space="0" w:color="auto"/>
                                        <w:right w:val="none" w:sz="0" w:space="0" w:color="auto"/>
                                      </w:divBdr>
                                      <w:divsChild>
                                        <w:div w:id="559025577">
                                          <w:marLeft w:val="0"/>
                                          <w:marRight w:val="195"/>
                                          <w:marTop w:val="0"/>
                                          <w:marBottom w:val="0"/>
                                          <w:divBdr>
                                            <w:top w:val="none" w:sz="0" w:space="0" w:color="auto"/>
                                            <w:left w:val="none" w:sz="0" w:space="0" w:color="auto"/>
                                            <w:bottom w:val="none" w:sz="0" w:space="0" w:color="auto"/>
                                            <w:right w:val="none" w:sz="0" w:space="0" w:color="auto"/>
                                          </w:divBdr>
                                        </w:div>
                                      </w:divsChild>
                                    </w:div>
                                    <w:div w:id="511456032">
                                      <w:marLeft w:val="38"/>
                                      <w:marRight w:val="0"/>
                                      <w:marTop w:val="0"/>
                                      <w:marBottom w:val="0"/>
                                      <w:divBdr>
                                        <w:top w:val="none" w:sz="0" w:space="0" w:color="auto"/>
                                        <w:left w:val="none" w:sz="0" w:space="0" w:color="auto"/>
                                        <w:bottom w:val="none" w:sz="0" w:space="0" w:color="auto"/>
                                        <w:right w:val="none" w:sz="0" w:space="0" w:color="auto"/>
                                      </w:divBdr>
                                    </w:div>
                                    <w:div w:id="1713187146">
                                      <w:marLeft w:val="38"/>
                                      <w:marRight w:val="0"/>
                                      <w:marTop w:val="0"/>
                                      <w:marBottom w:val="0"/>
                                      <w:divBdr>
                                        <w:top w:val="none" w:sz="0" w:space="0" w:color="auto"/>
                                        <w:left w:val="none" w:sz="0" w:space="0" w:color="auto"/>
                                        <w:bottom w:val="none" w:sz="0" w:space="0" w:color="auto"/>
                                        <w:right w:val="none" w:sz="0" w:space="0" w:color="auto"/>
                                      </w:divBdr>
                                    </w:div>
                                    <w:div w:id="1893350697">
                                      <w:marLeft w:val="38"/>
                                      <w:marRight w:val="0"/>
                                      <w:marTop w:val="0"/>
                                      <w:marBottom w:val="0"/>
                                      <w:divBdr>
                                        <w:top w:val="none" w:sz="0" w:space="0" w:color="auto"/>
                                        <w:left w:val="none" w:sz="0" w:space="0" w:color="auto"/>
                                        <w:bottom w:val="none" w:sz="0" w:space="0" w:color="auto"/>
                                        <w:right w:val="none" w:sz="0" w:space="0" w:color="auto"/>
                                      </w:divBdr>
                                    </w:div>
                                  </w:divsChild>
                                </w:div>
                              </w:divsChild>
                            </w:div>
                            <w:div w:id="1221945232">
                              <w:marLeft w:val="0"/>
                              <w:marRight w:val="0"/>
                              <w:marTop w:val="0"/>
                              <w:marBottom w:val="0"/>
                              <w:divBdr>
                                <w:top w:val="none" w:sz="0" w:space="0" w:color="auto"/>
                                <w:left w:val="none" w:sz="0" w:space="0" w:color="auto"/>
                                <w:bottom w:val="none" w:sz="0" w:space="0" w:color="auto"/>
                                <w:right w:val="none" w:sz="0" w:space="0" w:color="auto"/>
                              </w:divBdr>
                              <w:divsChild>
                                <w:div w:id="963195305">
                                  <w:marLeft w:val="0"/>
                                  <w:marRight w:val="0"/>
                                  <w:marTop w:val="0"/>
                                  <w:marBottom w:val="0"/>
                                  <w:divBdr>
                                    <w:top w:val="none" w:sz="0" w:space="0" w:color="auto"/>
                                    <w:left w:val="none" w:sz="0" w:space="0" w:color="auto"/>
                                    <w:bottom w:val="none" w:sz="0" w:space="0" w:color="auto"/>
                                    <w:right w:val="none" w:sz="0" w:space="0" w:color="auto"/>
                                  </w:divBdr>
                                </w:div>
                                <w:div w:id="19602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278171">
      <w:bodyDiv w:val="1"/>
      <w:marLeft w:val="0"/>
      <w:marRight w:val="0"/>
      <w:marTop w:val="0"/>
      <w:marBottom w:val="0"/>
      <w:divBdr>
        <w:top w:val="none" w:sz="0" w:space="0" w:color="auto"/>
        <w:left w:val="none" w:sz="0" w:space="0" w:color="auto"/>
        <w:bottom w:val="none" w:sz="0" w:space="0" w:color="auto"/>
        <w:right w:val="none" w:sz="0" w:space="0" w:color="auto"/>
      </w:divBdr>
    </w:div>
    <w:div w:id="921371098">
      <w:bodyDiv w:val="1"/>
      <w:marLeft w:val="0"/>
      <w:marRight w:val="0"/>
      <w:marTop w:val="0"/>
      <w:marBottom w:val="0"/>
      <w:divBdr>
        <w:top w:val="none" w:sz="0" w:space="0" w:color="auto"/>
        <w:left w:val="none" w:sz="0" w:space="0" w:color="auto"/>
        <w:bottom w:val="none" w:sz="0" w:space="0" w:color="auto"/>
        <w:right w:val="none" w:sz="0" w:space="0" w:color="auto"/>
      </w:divBdr>
    </w:div>
    <w:div w:id="1066612596">
      <w:bodyDiv w:val="1"/>
      <w:marLeft w:val="0"/>
      <w:marRight w:val="0"/>
      <w:marTop w:val="0"/>
      <w:marBottom w:val="0"/>
      <w:divBdr>
        <w:top w:val="none" w:sz="0" w:space="0" w:color="auto"/>
        <w:left w:val="none" w:sz="0" w:space="0" w:color="auto"/>
        <w:bottom w:val="none" w:sz="0" w:space="0" w:color="auto"/>
        <w:right w:val="none" w:sz="0" w:space="0" w:color="auto"/>
      </w:divBdr>
    </w:div>
    <w:div w:id="1101880416">
      <w:bodyDiv w:val="1"/>
      <w:marLeft w:val="0"/>
      <w:marRight w:val="0"/>
      <w:marTop w:val="0"/>
      <w:marBottom w:val="0"/>
      <w:divBdr>
        <w:top w:val="none" w:sz="0" w:space="0" w:color="auto"/>
        <w:left w:val="none" w:sz="0" w:space="0" w:color="auto"/>
        <w:bottom w:val="none" w:sz="0" w:space="0" w:color="auto"/>
        <w:right w:val="none" w:sz="0" w:space="0" w:color="auto"/>
      </w:divBdr>
    </w:div>
    <w:div w:id="1149174654">
      <w:bodyDiv w:val="1"/>
      <w:marLeft w:val="0"/>
      <w:marRight w:val="0"/>
      <w:marTop w:val="0"/>
      <w:marBottom w:val="0"/>
      <w:divBdr>
        <w:top w:val="none" w:sz="0" w:space="0" w:color="auto"/>
        <w:left w:val="none" w:sz="0" w:space="0" w:color="auto"/>
        <w:bottom w:val="none" w:sz="0" w:space="0" w:color="auto"/>
        <w:right w:val="none" w:sz="0" w:space="0" w:color="auto"/>
      </w:divBdr>
    </w:div>
    <w:div w:id="1232958357">
      <w:bodyDiv w:val="1"/>
      <w:marLeft w:val="0"/>
      <w:marRight w:val="0"/>
      <w:marTop w:val="0"/>
      <w:marBottom w:val="0"/>
      <w:divBdr>
        <w:top w:val="none" w:sz="0" w:space="0" w:color="auto"/>
        <w:left w:val="none" w:sz="0" w:space="0" w:color="auto"/>
        <w:bottom w:val="none" w:sz="0" w:space="0" w:color="auto"/>
        <w:right w:val="none" w:sz="0" w:space="0" w:color="auto"/>
      </w:divBdr>
    </w:div>
    <w:div w:id="1326780420">
      <w:bodyDiv w:val="1"/>
      <w:marLeft w:val="0"/>
      <w:marRight w:val="0"/>
      <w:marTop w:val="0"/>
      <w:marBottom w:val="0"/>
      <w:divBdr>
        <w:top w:val="none" w:sz="0" w:space="0" w:color="auto"/>
        <w:left w:val="none" w:sz="0" w:space="0" w:color="auto"/>
        <w:bottom w:val="none" w:sz="0" w:space="0" w:color="auto"/>
        <w:right w:val="none" w:sz="0" w:space="0" w:color="auto"/>
      </w:divBdr>
    </w:div>
    <w:div w:id="1340351293">
      <w:bodyDiv w:val="1"/>
      <w:marLeft w:val="0"/>
      <w:marRight w:val="0"/>
      <w:marTop w:val="0"/>
      <w:marBottom w:val="0"/>
      <w:divBdr>
        <w:top w:val="none" w:sz="0" w:space="0" w:color="auto"/>
        <w:left w:val="none" w:sz="0" w:space="0" w:color="auto"/>
        <w:bottom w:val="none" w:sz="0" w:space="0" w:color="auto"/>
        <w:right w:val="none" w:sz="0" w:space="0" w:color="auto"/>
      </w:divBdr>
    </w:div>
    <w:div w:id="1355809445">
      <w:bodyDiv w:val="1"/>
      <w:marLeft w:val="0"/>
      <w:marRight w:val="0"/>
      <w:marTop w:val="0"/>
      <w:marBottom w:val="0"/>
      <w:divBdr>
        <w:top w:val="none" w:sz="0" w:space="0" w:color="auto"/>
        <w:left w:val="none" w:sz="0" w:space="0" w:color="auto"/>
        <w:bottom w:val="none" w:sz="0" w:space="0" w:color="auto"/>
        <w:right w:val="none" w:sz="0" w:space="0" w:color="auto"/>
      </w:divBdr>
    </w:div>
    <w:div w:id="1359231935">
      <w:bodyDiv w:val="1"/>
      <w:marLeft w:val="0"/>
      <w:marRight w:val="0"/>
      <w:marTop w:val="0"/>
      <w:marBottom w:val="0"/>
      <w:divBdr>
        <w:top w:val="none" w:sz="0" w:space="0" w:color="auto"/>
        <w:left w:val="none" w:sz="0" w:space="0" w:color="auto"/>
        <w:bottom w:val="none" w:sz="0" w:space="0" w:color="auto"/>
        <w:right w:val="none" w:sz="0" w:space="0" w:color="auto"/>
      </w:divBdr>
    </w:div>
    <w:div w:id="1562062276">
      <w:bodyDiv w:val="1"/>
      <w:marLeft w:val="0"/>
      <w:marRight w:val="0"/>
      <w:marTop w:val="0"/>
      <w:marBottom w:val="0"/>
      <w:divBdr>
        <w:top w:val="none" w:sz="0" w:space="0" w:color="auto"/>
        <w:left w:val="none" w:sz="0" w:space="0" w:color="auto"/>
        <w:bottom w:val="none" w:sz="0" w:space="0" w:color="auto"/>
        <w:right w:val="none" w:sz="0" w:space="0" w:color="auto"/>
      </w:divBdr>
    </w:div>
    <w:div w:id="1577397845">
      <w:bodyDiv w:val="1"/>
      <w:marLeft w:val="0"/>
      <w:marRight w:val="0"/>
      <w:marTop w:val="0"/>
      <w:marBottom w:val="0"/>
      <w:divBdr>
        <w:top w:val="none" w:sz="0" w:space="0" w:color="auto"/>
        <w:left w:val="none" w:sz="0" w:space="0" w:color="auto"/>
        <w:bottom w:val="none" w:sz="0" w:space="0" w:color="auto"/>
        <w:right w:val="none" w:sz="0" w:space="0" w:color="auto"/>
      </w:divBdr>
    </w:div>
    <w:div w:id="1590695258">
      <w:bodyDiv w:val="1"/>
      <w:marLeft w:val="0"/>
      <w:marRight w:val="0"/>
      <w:marTop w:val="0"/>
      <w:marBottom w:val="0"/>
      <w:divBdr>
        <w:top w:val="none" w:sz="0" w:space="0" w:color="auto"/>
        <w:left w:val="none" w:sz="0" w:space="0" w:color="auto"/>
        <w:bottom w:val="none" w:sz="0" w:space="0" w:color="auto"/>
        <w:right w:val="none" w:sz="0" w:space="0" w:color="auto"/>
      </w:divBdr>
      <w:divsChild>
        <w:div w:id="1324159504">
          <w:marLeft w:val="0"/>
          <w:marRight w:val="0"/>
          <w:marTop w:val="0"/>
          <w:marBottom w:val="0"/>
          <w:divBdr>
            <w:top w:val="none" w:sz="0" w:space="0" w:color="auto"/>
            <w:left w:val="none" w:sz="0" w:space="0" w:color="auto"/>
            <w:bottom w:val="none" w:sz="0" w:space="0" w:color="auto"/>
            <w:right w:val="none" w:sz="0" w:space="0" w:color="auto"/>
          </w:divBdr>
          <w:divsChild>
            <w:div w:id="1832059603">
              <w:marLeft w:val="0"/>
              <w:marRight w:val="0"/>
              <w:marTop w:val="0"/>
              <w:marBottom w:val="0"/>
              <w:divBdr>
                <w:top w:val="none" w:sz="0" w:space="0" w:color="auto"/>
                <w:left w:val="none" w:sz="0" w:space="0" w:color="auto"/>
                <w:bottom w:val="none" w:sz="0" w:space="0" w:color="auto"/>
                <w:right w:val="none" w:sz="0" w:space="0" w:color="auto"/>
              </w:divBdr>
              <w:divsChild>
                <w:div w:id="783114550">
                  <w:marLeft w:val="0"/>
                  <w:marRight w:val="0"/>
                  <w:marTop w:val="0"/>
                  <w:marBottom w:val="0"/>
                  <w:divBdr>
                    <w:top w:val="none" w:sz="0" w:space="0" w:color="auto"/>
                    <w:left w:val="none" w:sz="0" w:space="0" w:color="auto"/>
                    <w:bottom w:val="none" w:sz="0" w:space="0" w:color="auto"/>
                    <w:right w:val="none" w:sz="0" w:space="0" w:color="auto"/>
                  </w:divBdr>
                  <w:divsChild>
                    <w:div w:id="1353340515">
                      <w:marLeft w:val="0"/>
                      <w:marRight w:val="0"/>
                      <w:marTop w:val="0"/>
                      <w:marBottom w:val="0"/>
                      <w:divBdr>
                        <w:top w:val="none" w:sz="0" w:space="0" w:color="auto"/>
                        <w:left w:val="none" w:sz="0" w:space="0" w:color="auto"/>
                        <w:bottom w:val="none" w:sz="0" w:space="0" w:color="auto"/>
                        <w:right w:val="none" w:sz="0" w:space="0" w:color="auto"/>
                      </w:divBdr>
                      <w:divsChild>
                        <w:div w:id="300769409">
                          <w:marLeft w:val="0"/>
                          <w:marRight w:val="0"/>
                          <w:marTop w:val="100"/>
                          <w:marBottom w:val="100"/>
                          <w:divBdr>
                            <w:top w:val="none" w:sz="0" w:space="0" w:color="auto"/>
                            <w:left w:val="none" w:sz="0" w:space="0" w:color="auto"/>
                            <w:bottom w:val="none" w:sz="0" w:space="0" w:color="auto"/>
                            <w:right w:val="none" w:sz="0" w:space="0" w:color="auto"/>
                          </w:divBdr>
                          <w:divsChild>
                            <w:div w:id="396586452">
                              <w:marLeft w:val="0"/>
                              <w:marRight w:val="0"/>
                              <w:marTop w:val="0"/>
                              <w:marBottom w:val="0"/>
                              <w:divBdr>
                                <w:top w:val="none" w:sz="0" w:space="0" w:color="auto"/>
                                <w:left w:val="none" w:sz="0" w:space="0" w:color="auto"/>
                                <w:bottom w:val="none" w:sz="0" w:space="0" w:color="auto"/>
                                <w:right w:val="none" w:sz="0" w:space="0" w:color="auto"/>
                              </w:divBdr>
                              <w:divsChild>
                                <w:div w:id="443303521">
                                  <w:marLeft w:val="0"/>
                                  <w:marRight w:val="0"/>
                                  <w:marTop w:val="0"/>
                                  <w:marBottom w:val="0"/>
                                  <w:divBdr>
                                    <w:top w:val="none" w:sz="0" w:space="0" w:color="auto"/>
                                    <w:left w:val="none" w:sz="0" w:space="0" w:color="auto"/>
                                    <w:bottom w:val="none" w:sz="0" w:space="0" w:color="auto"/>
                                    <w:right w:val="none" w:sz="0" w:space="0" w:color="auto"/>
                                  </w:divBdr>
                                </w:div>
                                <w:div w:id="668602306">
                                  <w:marLeft w:val="0"/>
                                  <w:marRight w:val="0"/>
                                  <w:marTop w:val="0"/>
                                  <w:marBottom w:val="0"/>
                                  <w:divBdr>
                                    <w:top w:val="none" w:sz="0" w:space="0" w:color="auto"/>
                                    <w:left w:val="none" w:sz="0" w:space="0" w:color="auto"/>
                                    <w:bottom w:val="none" w:sz="0" w:space="0" w:color="auto"/>
                                    <w:right w:val="none" w:sz="0" w:space="0" w:color="auto"/>
                                  </w:divBdr>
                                </w:div>
                              </w:divsChild>
                            </w:div>
                            <w:div w:id="1299796181">
                              <w:marLeft w:val="0"/>
                              <w:marRight w:val="0"/>
                              <w:marTop w:val="0"/>
                              <w:marBottom w:val="0"/>
                              <w:divBdr>
                                <w:top w:val="none" w:sz="0" w:space="0" w:color="auto"/>
                                <w:left w:val="none" w:sz="0" w:space="0" w:color="auto"/>
                                <w:bottom w:val="none" w:sz="0" w:space="0" w:color="auto"/>
                                <w:right w:val="none" w:sz="0" w:space="0" w:color="auto"/>
                              </w:divBdr>
                              <w:divsChild>
                                <w:div w:id="2000382462">
                                  <w:marLeft w:val="0"/>
                                  <w:marRight w:val="0"/>
                                  <w:marTop w:val="0"/>
                                  <w:marBottom w:val="0"/>
                                  <w:divBdr>
                                    <w:top w:val="none" w:sz="0" w:space="0" w:color="auto"/>
                                    <w:left w:val="none" w:sz="0" w:space="0" w:color="auto"/>
                                    <w:bottom w:val="none" w:sz="0" w:space="0" w:color="auto"/>
                                    <w:right w:val="none" w:sz="0" w:space="0" w:color="auto"/>
                                  </w:divBdr>
                                  <w:divsChild>
                                    <w:div w:id="356124730">
                                      <w:marLeft w:val="38"/>
                                      <w:marRight w:val="0"/>
                                      <w:marTop w:val="0"/>
                                      <w:marBottom w:val="0"/>
                                      <w:divBdr>
                                        <w:top w:val="none" w:sz="0" w:space="0" w:color="auto"/>
                                        <w:left w:val="none" w:sz="0" w:space="0" w:color="auto"/>
                                        <w:bottom w:val="none" w:sz="0" w:space="0" w:color="auto"/>
                                        <w:right w:val="none" w:sz="0" w:space="0" w:color="auto"/>
                                      </w:divBdr>
                                    </w:div>
                                    <w:div w:id="820535458">
                                      <w:marLeft w:val="38"/>
                                      <w:marRight w:val="0"/>
                                      <w:marTop w:val="0"/>
                                      <w:marBottom w:val="0"/>
                                      <w:divBdr>
                                        <w:top w:val="none" w:sz="0" w:space="0" w:color="auto"/>
                                        <w:left w:val="none" w:sz="0" w:space="0" w:color="auto"/>
                                        <w:bottom w:val="none" w:sz="0" w:space="0" w:color="auto"/>
                                        <w:right w:val="none" w:sz="0" w:space="0" w:color="auto"/>
                                      </w:divBdr>
                                    </w:div>
                                    <w:div w:id="995375001">
                                      <w:marLeft w:val="38"/>
                                      <w:marRight w:val="0"/>
                                      <w:marTop w:val="0"/>
                                      <w:marBottom w:val="0"/>
                                      <w:divBdr>
                                        <w:top w:val="none" w:sz="0" w:space="0" w:color="auto"/>
                                        <w:left w:val="none" w:sz="0" w:space="0" w:color="auto"/>
                                        <w:bottom w:val="none" w:sz="0" w:space="0" w:color="auto"/>
                                        <w:right w:val="none" w:sz="0" w:space="0" w:color="auto"/>
                                      </w:divBdr>
                                    </w:div>
                                    <w:div w:id="1046416779">
                                      <w:marLeft w:val="38"/>
                                      <w:marRight w:val="0"/>
                                      <w:marTop w:val="0"/>
                                      <w:marBottom w:val="0"/>
                                      <w:divBdr>
                                        <w:top w:val="none" w:sz="0" w:space="0" w:color="auto"/>
                                        <w:left w:val="none" w:sz="0" w:space="0" w:color="auto"/>
                                        <w:bottom w:val="none" w:sz="0" w:space="0" w:color="auto"/>
                                        <w:right w:val="none" w:sz="0" w:space="0" w:color="auto"/>
                                      </w:divBdr>
                                      <w:divsChild>
                                        <w:div w:id="44572035">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436610">
      <w:bodyDiv w:val="1"/>
      <w:marLeft w:val="0"/>
      <w:marRight w:val="0"/>
      <w:marTop w:val="0"/>
      <w:marBottom w:val="0"/>
      <w:divBdr>
        <w:top w:val="none" w:sz="0" w:space="0" w:color="auto"/>
        <w:left w:val="none" w:sz="0" w:space="0" w:color="auto"/>
        <w:bottom w:val="none" w:sz="0" w:space="0" w:color="auto"/>
        <w:right w:val="none" w:sz="0" w:space="0" w:color="auto"/>
      </w:divBdr>
    </w:div>
    <w:div w:id="1743135147">
      <w:bodyDiv w:val="1"/>
      <w:marLeft w:val="0"/>
      <w:marRight w:val="0"/>
      <w:marTop w:val="0"/>
      <w:marBottom w:val="0"/>
      <w:divBdr>
        <w:top w:val="none" w:sz="0" w:space="0" w:color="auto"/>
        <w:left w:val="none" w:sz="0" w:space="0" w:color="auto"/>
        <w:bottom w:val="none" w:sz="0" w:space="0" w:color="auto"/>
        <w:right w:val="none" w:sz="0" w:space="0" w:color="auto"/>
      </w:divBdr>
    </w:div>
    <w:div w:id="1764033576">
      <w:bodyDiv w:val="1"/>
      <w:marLeft w:val="0"/>
      <w:marRight w:val="0"/>
      <w:marTop w:val="0"/>
      <w:marBottom w:val="0"/>
      <w:divBdr>
        <w:top w:val="none" w:sz="0" w:space="0" w:color="auto"/>
        <w:left w:val="none" w:sz="0" w:space="0" w:color="auto"/>
        <w:bottom w:val="none" w:sz="0" w:space="0" w:color="auto"/>
        <w:right w:val="none" w:sz="0" w:space="0" w:color="auto"/>
      </w:divBdr>
    </w:div>
    <w:div w:id="1794669631">
      <w:bodyDiv w:val="1"/>
      <w:marLeft w:val="0"/>
      <w:marRight w:val="0"/>
      <w:marTop w:val="0"/>
      <w:marBottom w:val="0"/>
      <w:divBdr>
        <w:top w:val="none" w:sz="0" w:space="0" w:color="auto"/>
        <w:left w:val="none" w:sz="0" w:space="0" w:color="auto"/>
        <w:bottom w:val="none" w:sz="0" w:space="0" w:color="auto"/>
        <w:right w:val="none" w:sz="0" w:space="0" w:color="auto"/>
      </w:divBdr>
      <w:divsChild>
        <w:div w:id="406004669">
          <w:marLeft w:val="0"/>
          <w:marRight w:val="0"/>
          <w:marTop w:val="0"/>
          <w:marBottom w:val="0"/>
          <w:divBdr>
            <w:top w:val="none" w:sz="0" w:space="0" w:color="auto"/>
            <w:left w:val="none" w:sz="0" w:space="0" w:color="auto"/>
            <w:bottom w:val="none" w:sz="0" w:space="0" w:color="auto"/>
            <w:right w:val="none" w:sz="0" w:space="0" w:color="auto"/>
          </w:divBdr>
          <w:divsChild>
            <w:div w:id="1186481958">
              <w:marLeft w:val="0"/>
              <w:marRight w:val="0"/>
              <w:marTop w:val="0"/>
              <w:marBottom w:val="0"/>
              <w:divBdr>
                <w:top w:val="none" w:sz="0" w:space="0" w:color="auto"/>
                <w:left w:val="none" w:sz="0" w:space="0" w:color="auto"/>
                <w:bottom w:val="none" w:sz="0" w:space="0" w:color="auto"/>
                <w:right w:val="none" w:sz="0" w:space="0" w:color="auto"/>
              </w:divBdr>
            </w:div>
          </w:divsChild>
        </w:div>
        <w:div w:id="528030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954613">
      <w:bodyDiv w:val="1"/>
      <w:marLeft w:val="0"/>
      <w:marRight w:val="0"/>
      <w:marTop w:val="0"/>
      <w:marBottom w:val="0"/>
      <w:divBdr>
        <w:top w:val="none" w:sz="0" w:space="0" w:color="auto"/>
        <w:left w:val="none" w:sz="0" w:space="0" w:color="auto"/>
        <w:bottom w:val="none" w:sz="0" w:space="0" w:color="auto"/>
        <w:right w:val="none" w:sz="0" w:space="0" w:color="auto"/>
      </w:divBdr>
    </w:div>
    <w:div w:id="1953398372">
      <w:bodyDiv w:val="1"/>
      <w:marLeft w:val="0"/>
      <w:marRight w:val="0"/>
      <w:marTop w:val="0"/>
      <w:marBottom w:val="0"/>
      <w:divBdr>
        <w:top w:val="none" w:sz="0" w:space="0" w:color="auto"/>
        <w:left w:val="none" w:sz="0" w:space="0" w:color="auto"/>
        <w:bottom w:val="none" w:sz="0" w:space="0" w:color="auto"/>
        <w:right w:val="none" w:sz="0" w:space="0" w:color="auto"/>
      </w:divBdr>
    </w:div>
    <w:div w:id="2017927339">
      <w:bodyDiv w:val="1"/>
      <w:marLeft w:val="0"/>
      <w:marRight w:val="0"/>
      <w:marTop w:val="0"/>
      <w:marBottom w:val="0"/>
      <w:divBdr>
        <w:top w:val="none" w:sz="0" w:space="0" w:color="auto"/>
        <w:left w:val="none" w:sz="0" w:space="0" w:color="auto"/>
        <w:bottom w:val="none" w:sz="0" w:space="0" w:color="auto"/>
        <w:right w:val="none" w:sz="0" w:space="0" w:color="auto"/>
      </w:divBdr>
    </w:div>
    <w:div w:id="2056343649">
      <w:bodyDiv w:val="1"/>
      <w:marLeft w:val="0"/>
      <w:marRight w:val="0"/>
      <w:marTop w:val="0"/>
      <w:marBottom w:val="0"/>
      <w:divBdr>
        <w:top w:val="none" w:sz="0" w:space="0" w:color="auto"/>
        <w:left w:val="none" w:sz="0" w:space="0" w:color="auto"/>
        <w:bottom w:val="none" w:sz="0" w:space="0" w:color="auto"/>
        <w:right w:val="none" w:sz="0" w:space="0" w:color="auto"/>
      </w:divBdr>
    </w:div>
    <w:div w:id="209049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CD033-F16B-4776-AFE5-25D6952D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1431</Words>
  <Characters>8157</Characters>
  <Application>Microsoft Office Word</Application>
  <DocSecurity>0</DocSecurity>
  <Lines>67</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TUANDOC</dc:creator>
  <cp:keywords/>
  <cp:lastModifiedBy>Nguyễn Trọng Vũ</cp:lastModifiedBy>
  <cp:revision>16</cp:revision>
  <cp:lastPrinted>2026-07-10T01:32:00Z</cp:lastPrinted>
  <dcterms:created xsi:type="dcterms:W3CDTF">2026-07-10T01:17:00Z</dcterms:created>
  <dcterms:modified xsi:type="dcterms:W3CDTF">2026-07-10T04:22:00Z</dcterms:modified>
</cp:coreProperties>
</file>