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C7E8A" w14:textId="6474721D" w:rsidR="001675FE" w:rsidRPr="00CD4F27" w:rsidRDefault="001675FE">
      <w:pPr>
        <w:widowControl w:val="0"/>
        <w:pBdr>
          <w:top w:val="nil"/>
          <w:left w:val="nil"/>
          <w:bottom w:val="nil"/>
          <w:right w:val="nil"/>
          <w:between w:val="nil"/>
        </w:pBdr>
        <w:spacing w:before="395" w:line="240" w:lineRule="auto"/>
        <w:rPr>
          <w:rFonts w:ascii="Times New Roman" w:eastAsia="Times New Roman" w:hAnsi="Times New Roman" w:cs="Times New Roman"/>
          <w:i/>
          <w:iCs/>
          <w:color w:val="000000" w:themeColor="text1"/>
          <w:sz w:val="28"/>
          <w:szCs w:val="28"/>
        </w:rPr>
        <w:sectPr w:rsidR="001675FE" w:rsidRPr="00CD4F27" w:rsidSect="005E5BC7">
          <w:headerReference w:type="default" r:id="rId6"/>
          <w:pgSz w:w="16840" w:h="11900" w:orient="landscape"/>
          <w:pgMar w:top="700" w:right="2100" w:bottom="1145" w:left="2860" w:header="567" w:footer="720" w:gutter="0"/>
          <w:pgNumType w:start="1"/>
          <w:cols w:num="2" w:space="720" w:equalWidth="0">
            <w:col w:w="5940" w:space="0"/>
            <w:col w:w="5940" w:space="0"/>
          </w:cols>
          <w:titlePg/>
          <w:docGrid w:linePitch="299"/>
        </w:sectPr>
      </w:pPr>
    </w:p>
    <w:tbl>
      <w:tblPr>
        <w:tblW w:w="14629" w:type="dxa"/>
        <w:tblInd w:w="-459" w:type="dxa"/>
        <w:tblLook w:val="0000" w:firstRow="0" w:lastRow="0" w:firstColumn="0" w:lastColumn="0" w:noHBand="0" w:noVBand="0"/>
      </w:tblPr>
      <w:tblGrid>
        <w:gridCol w:w="4570"/>
        <w:gridCol w:w="10059"/>
      </w:tblGrid>
      <w:tr w:rsidR="00DF3F37" w:rsidRPr="00CD4F27" w14:paraId="506CA6A9" w14:textId="77777777" w:rsidTr="005A7095">
        <w:trPr>
          <w:trHeight w:val="1411"/>
        </w:trPr>
        <w:tc>
          <w:tcPr>
            <w:tcW w:w="4570" w:type="dxa"/>
          </w:tcPr>
          <w:p w14:paraId="2B942AD4" w14:textId="250D624F" w:rsidR="00DF3F37" w:rsidRPr="00CD4F27" w:rsidRDefault="00DF3F37" w:rsidP="00DF3F37">
            <w:pPr>
              <w:keepNext/>
              <w:spacing w:line="240" w:lineRule="auto"/>
              <w:jc w:val="center"/>
              <w:outlineLvl w:val="1"/>
              <w:rPr>
                <w:rFonts w:ascii="Times New Roman" w:eastAsia="Times New Roman" w:hAnsi="Times New Roman" w:cs="Times New Roman"/>
                <w:bCs/>
                <w:color w:val="000000" w:themeColor="text1"/>
                <w:sz w:val="28"/>
                <w:szCs w:val="28"/>
              </w:rPr>
            </w:pPr>
            <w:r w:rsidRPr="00CD4F27">
              <w:rPr>
                <w:rFonts w:ascii="Times New Roman" w:eastAsia="Times New Roman" w:hAnsi="Times New Roman" w:cs="Times New Roman"/>
                <w:bCs/>
                <w:color w:val="000000" w:themeColor="text1"/>
                <w:sz w:val="28"/>
                <w:szCs w:val="28"/>
              </w:rPr>
              <w:t>UBND TỈNH ĐẮK LẮK</w:t>
            </w:r>
          </w:p>
          <w:p w14:paraId="6E3BE26D" w14:textId="538741EA" w:rsidR="00DF3F37" w:rsidRPr="00CD4F27" w:rsidRDefault="00DF3F37" w:rsidP="00DF3F37">
            <w:pPr>
              <w:spacing w:line="240" w:lineRule="auto"/>
              <w:jc w:val="center"/>
              <w:rPr>
                <w:rFonts w:ascii="Times New Roman" w:eastAsia="Times New Roman" w:hAnsi="Times New Roman" w:cs="Times New Roman"/>
                <w:b/>
                <w:color w:val="000000" w:themeColor="text1"/>
                <w:sz w:val="24"/>
                <w:szCs w:val="28"/>
              </w:rPr>
            </w:pPr>
            <w:r w:rsidRPr="00CD4F27">
              <w:rPr>
                <w:rFonts w:ascii="Times New Roman" w:eastAsia="Times New Roman" w:hAnsi="Times New Roman" w:cs="Times New Roman"/>
                <w:b/>
                <w:color w:val="000000" w:themeColor="text1"/>
                <w:sz w:val="28"/>
                <w:szCs w:val="28"/>
              </w:rPr>
              <w:t>SỞ NỘI VỤ</w:t>
            </w:r>
          </w:p>
          <w:p w14:paraId="0A6A6085" w14:textId="498EBF83" w:rsidR="00DF3F37" w:rsidRPr="00CD4F27" w:rsidRDefault="00DF3F37" w:rsidP="00DF3F37">
            <w:pPr>
              <w:spacing w:line="240" w:lineRule="auto"/>
              <w:jc w:val="center"/>
              <w:rPr>
                <w:rFonts w:ascii="Times New Roman" w:eastAsia="Times New Roman" w:hAnsi="Times New Roman" w:cs="Times New Roman"/>
                <w:color w:val="000000" w:themeColor="text1"/>
                <w:sz w:val="24"/>
                <w:szCs w:val="28"/>
              </w:rPr>
            </w:pPr>
            <w:r w:rsidRPr="00CD4F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59264" behindDoc="0" locked="0" layoutInCell="1" allowOverlap="1" wp14:anchorId="73429010" wp14:editId="6EE3C0E1">
                      <wp:simplePos x="0" y="0"/>
                      <wp:positionH relativeFrom="column">
                        <wp:posOffset>1078230</wp:posOffset>
                      </wp:positionH>
                      <wp:positionV relativeFrom="paragraph">
                        <wp:posOffset>31115</wp:posOffset>
                      </wp:positionV>
                      <wp:extent cx="575945"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C46E2"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pt,2.45pt" to="130.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"/>
                  </w:pict>
                </mc:Fallback>
              </mc:AlternateContent>
            </w:r>
          </w:p>
          <w:p w14:paraId="2E05779A" w14:textId="624AB3E6" w:rsidR="00DF3F37" w:rsidRPr="00CD4F27" w:rsidRDefault="007F39DA" w:rsidP="00DF3F37">
            <w:pPr>
              <w:spacing w:line="240" w:lineRule="auto"/>
              <w:jc w:val="center"/>
              <w:rPr>
                <w:rFonts w:ascii="Times New Roman" w:eastAsia="Times New Roman" w:hAnsi="Times New Roman" w:cs="Times New Roman"/>
                <w:color w:val="000000" w:themeColor="text1"/>
                <w:sz w:val="24"/>
                <w:szCs w:val="28"/>
              </w:rPr>
            </w:pPr>
            <w:r>
              <w:rPr>
                <w:noProof/>
                <w:sz w:val="24"/>
                <w:szCs w:val="24"/>
              </w:rPr>
              <mc:AlternateContent>
                <mc:Choice Requires="wps">
                  <w:drawing>
                    <wp:anchor distT="0" distB="0" distL="114300" distR="114300" simplePos="0" relativeHeight="251662336" behindDoc="0" locked="0" layoutInCell="1" allowOverlap="1" wp14:anchorId="4AC64B3B" wp14:editId="6933AD55">
                      <wp:simplePos x="0" y="0"/>
                      <wp:positionH relativeFrom="column">
                        <wp:posOffset>720014</wp:posOffset>
                      </wp:positionH>
                      <wp:positionV relativeFrom="paragraph">
                        <wp:posOffset>10748</wp:posOffset>
                      </wp:positionV>
                      <wp:extent cx="1022350" cy="269875"/>
                      <wp:effectExtent l="0" t="0" r="25400" b="15875"/>
                      <wp:wrapNone/>
                      <wp:docPr id="3331365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269875"/>
                              </a:xfrm>
                              <a:prstGeom prst="rect">
                                <a:avLst/>
                              </a:prstGeom>
                              <a:solidFill>
                                <a:srgbClr val="FFFFFF"/>
                              </a:solidFill>
                              <a:ln w="9525">
                                <a:solidFill>
                                  <a:srgbClr val="000000"/>
                                </a:solidFill>
                                <a:miter lim="800000"/>
                                <a:headEnd/>
                                <a:tailEnd/>
                              </a:ln>
                            </wps:spPr>
                            <wps:txbx>
                              <w:txbxContent>
                                <w:p w14:paraId="3441027B" w14:textId="77777777" w:rsidR="007F39DA" w:rsidRPr="007F39DA" w:rsidRDefault="007F39DA" w:rsidP="007F39DA">
                                  <w:pPr>
                                    <w:jc w:val="center"/>
                                    <w:rPr>
                                      <w:rFonts w:ascii="Times New Roman" w:hAnsi="Times New Roman" w:cs="Times New Roman"/>
                                      <w:sz w:val="24"/>
                                      <w:szCs w:val="24"/>
                                    </w:rPr>
                                  </w:pPr>
                                  <w:r w:rsidRPr="007F39DA">
                                    <w:rPr>
                                      <w:rFonts w:ascii="Times New Roman" w:hAnsi="Times New Roman" w:cs="Times New Roman"/>
                                      <w:sz w:val="24"/>
                                      <w:szCs w:val="24"/>
                                    </w:rPr>
                                    <w:t>DỰ THẢO 2</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64B3B" id="Rectangle 3" o:spid="_x0000_s1026" style="position:absolute;left:0;text-align:left;margin-left:56.7pt;margin-top:.85pt;width:80.5pt;height: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">
                      <v:textbox>
                        <w:txbxContent>
                          <w:p w14:paraId="3441027B" w14:textId="77777777" w:rsidR="007F39DA" w:rsidRPr="007F39DA" w:rsidRDefault="007F39DA" w:rsidP="007F39DA">
                            <w:pPr>
                              <w:jc w:val="center"/>
                              <w:rPr>
                                <w:rFonts w:ascii="Times New Roman" w:hAnsi="Times New Roman" w:cs="Times New Roman"/>
                                <w:sz w:val="24"/>
                                <w:szCs w:val="24"/>
                              </w:rPr>
                            </w:pPr>
                            <w:r w:rsidRPr="007F39DA">
                              <w:rPr>
                                <w:rFonts w:ascii="Times New Roman" w:hAnsi="Times New Roman" w:cs="Times New Roman"/>
                                <w:sz w:val="24"/>
                                <w:szCs w:val="24"/>
                              </w:rPr>
                              <w:t>DỰ THẢO 2</w:t>
                            </w:r>
                          </w:p>
                        </w:txbxContent>
                      </v:textbox>
                    </v:rect>
                  </w:pict>
                </mc:Fallback>
              </mc:AlternateContent>
            </w:r>
          </w:p>
        </w:tc>
        <w:tc>
          <w:tcPr>
            <w:tcW w:w="10059" w:type="dxa"/>
          </w:tcPr>
          <w:p w14:paraId="22CA2C02" w14:textId="77777777" w:rsidR="00DF3F37" w:rsidRPr="00CD4F27" w:rsidRDefault="00DF3F37" w:rsidP="00DF3F37">
            <w:pPr>
              <w:spacing w:line="240" w:lineRule="auto"/>
              <w:jc w:val="center"/>
              <w:rPr>
                <w:rFonts w:ascii="Times New Roman" w:eastAsia="Times New Roman" w:hAnsi="Times New Roman" w:cs="Times New Roman"/>
                <w:b/>
                <w:bCs/>
                <w:color w:val="000000" w:themeColor="text1"/>
                <w:sz w:val="26"/>
                <w:szCs w:val="26"/>
              </w:rPr>
            </w:pPr>
            <w:r w:rsidRPr="00CD4F27">
              <w:rPr>
                <w:rFonts w:ascii="Times New Roman" w:eastAsia="Times New Roman" w:hAnsi="Times New Roman" w:cs="Times New Roman"/>
                <w:b/>
                <w:bCs/>
                <w:color w:val="000000" w:themeColor="text1"/>
                <w:sz w:val="26"/>
                <w:szCs w:val="26"/>
              </w:rPr>
              <w:t>CỘNG HÒA XÃ HỘI CHỦ NGHĨA VIỆT NAM</w:t>
            </w:r>
          </w:p>
          <w:p w14:paraId="41071321" w14:textId="77777777" w:rsidR="00DF3F37" w:rsidRPr="00CD4F27" w:rsidRDefault="00DF3F37" w:rsidP="00DF3F37">
            <w:pPr>
              <w:spacing w:line="240" w:lineRule="auto"/>
              <w:jc w:val="center"/>
              <w:rPr>
                <w:rFonts w:ascii="Times New Roman" w:eastAsia="Times New Roman" w:hAnsi="Times New Roman" w:cs="Times New Roman"/>
                <w:b/>
                <w:bCs/>
                <w:color w:val="000000" w:themeColor="text1"/>
                <w:sz w:val="24"/>
                <w:szCs w:val="28"/>
              </w:rPr>
            </w:pPr>
            <w:r w:rsidRPr="00CD4F27">
              <w:rPr>
                <w:rFonts w:ascii="Times New Roman" w:eastAsia="Times New Roman" w:hAnsi="Times New Roman" w:cs="Times New Roman"/>
                <w:b/>
                <w:bCs/>
                <w:color w:val="000000" w:themeColor="text1"/>
                <w:sz w:val="28"/>
                <w:szCs w:val="28"/>
              </w:rPr>
              <w:t>Độc lập - Tự do - Hạnh phúc</w:t>
            </w:r>
          </w:p>
          <w:p w14:paraId="4775C0FD" w14:textId="0D12DE9C" w:rsidR="00DF3F37" w:rsidRPr="00CD4F27" w:rsidRDefault="00DF3F37" w:rsidP="00DF3F37">
            <w:pPr>
              <w:tabs>
                <w:tab w:val="center" w:pos="2944"/>
              </w:tabs>
              <w:spacing w:line="240" w:lineRule="auto"/>
              <w:jc w:val="center"/>
              <w:rPr>
                <w:rFonts w:ascii="Times New Roman" w:eastAsia="Times New Roman" w:hAnsi="Times New Roman" w:cs="Times New Roman"/>
                <w:b/>
                <w:bCs/>
                <w:color w:val="000000" w:themeColor="text1"/>
                <w:sz w:val="24"/>
                <w:szCs w:val="28"/>
              </w:rPr>
            </w:pPr>
            <w:r w:rsidRPr="00CD4F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60288" behindDoc="0" locked="0" layoutInCell="1" allowOverlap="1" wp14:anchorId="483D9896" wp14:editId="43C1D79A">
                      <wp:simplePos x="0" y="0"/>
                      <wp:positionH relativeFrom="column">
                        <wp:posOffset>2044673</wp:posOffset>
                      </wp:positionH>
                      <wp:positionV relativeFrom="paragraph">
                        <wp:posOffset>18415</wp:posOffset>
                      </wp:positionV>
                      <wp:extent cx="2171700" cy="0"/>
                      <wp:effectExtent l="7620" t="10160" r="11430" b="889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DE8A6" id="Line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1.45pt" to="33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"/>
                  </w:pict>
                </mc:Fallback>
              </mc:AlternateContent>
            </w:r>
          </w:p>
          <w:p w14:paraId="0B798840" w14:textId="49832051" w:rsidR="00DF3F37" w:rsidRPr="00CD4F27" w:rsidRDefault="00DF3F37" w:rsidP="00DF3F37">
            <w:pPr>
              <w:spacing w:line="240" w:lineRule="auto"/>
              <w:jc w:val="center"/>
              <w:rPr>
                <w:rFonts w:ascii="Times New Roman" w:eastAsia="Times New Roman" w:hAnsi="Times New Roman" w:cs="Times New Roman"/>
                <w:i/>
                <w:color w:val="000000" w:themeColor="text1"/>
                <w:sz w:val="24"/>
                <w:szCs w:val="28"/>
              </w:rPr>
            </w:pPr>
            <w:r w:rsidRPr="00CD4F27">
              <w:rPr>
                <w:rFonts w:ascii="Times New Roman" w:eastAsia="Times New Roman" w:hAnsi="Times New Roman" w:cs="Times New Roman"/>
                <w:i/>
                <w:iCs/>
                <w:color w:val="000000" w:themeColor="text1"/>
                <w:sz w:val="28"/>
                <w:szCs w:val="28"/>
              </w:rPr>
              <w:t xml:space="preserve"> Đắk Lắk, ngày</w:t>
            </w:r>
            <w:r w:rsidR="00BB01E5" w:rsidRPr="00CD4F27">
              <w:rPr>
                <w:rFonts w:ascii="Times New Roman" w:eastAsia="Times New Roman" w:hAnsi="Times New Roman" w:cs="Times New Roman"/>
                <w:i/>
                <w:iCs/>
                <w:color w:val="000000" w:themeColor="text1"/>
                <w:sz w:val="28"/>
                <w:szCs w:val="28"/>
              </w:rPr>
              <w:t xml:space="preserve">   </w:t>
            </w:r>
            <w:r w:rsidR="000E2AAE" w:rsidRPr="00CD4F27">
              <w:rPr>
                <w:rFonts w:ascii="Times New Roman" w:eastAsia="Times New Roman" w:hAnsi="Times New Roman" w:cs="Times New Roman"/>
                <w:i/>
                <w:iCs/>
                <w:color w:val="000000" w:themeColor="text1"/>
                <w:sz w:val="28"/>
                <w:szCs w:val="28"/>
              </w:rPr>
              <w:t xml:space="preserve">  </w:t>
            </w:r>
            <w:r w:rsidRPr="00CD4F27">
              <w:rPr>
                <w:rFonts w:ascii="Times New Roman" w:eastAsia="Times New Roman" w:hAnsi="Times New Roman" w:cs="Times New Roman"/>
                <w:i/>
                <w:iCs/>
                <w:color w:val="000000" w:themeColor="text1"/>
                <w:sz w:val="28"/>
                <w:szCs w:val="28"/>
              </w:rPr>
              <w:t xml:space="preserve"> tháng</w:t>
            </w:r>
            <w:r w:rsidR="000E2AAE" w:rsidRPr="00CD4F27">
              <w:rPr>
                <w:rFonts w:ascii="Times New Roman" w:eastAsia="Times New Roman" w:hAnsi="Times New Roman" w:cs="Times New Roman"/>
                <w:i/>
                <w:iCs/>
                <w:color w:val="000000" w:themeColor="text1"/>
                <w:sz w:val="28"/>
                <w:szCs w:val="28"/>
              </w:rPr>
              <w:t xml:space="preserve">  </w:t>
            </w:r>
            <w:r w:rsidRPr="00CD4F27">
              <w:rPr>
                <w:rFonts w:ascii="Times New Roman" w:eastAsia="Times New Roman" w:hAnsi="Times New Roman" w:cs="Times New Roman"/>
                <w:i/>
                <w:iCs/>
                <w:color w:val="000000" w:themeColor="text1"/>
                <w:sz w:val="28"/>
                <w:szCs w:val="28"/>
              </w:rPr>
              <w:t xml:space="preserve"> năm 2026</w:t>
            </w:r>
          </w:p>
        </w:tc>
      </w:tr>
    </w:tbl>
    <w:p w14:paraId="138B25E2" w14:textId="77777777" w:rsidR="00827F70" w:rsidRPr="00CD4F27" w:rsidRDefault="00827F70" w:rsidP="00827F70">
      <w:pPr>
        <w:widowControl w:val="0"/>
        <w:pBdr>
          <w:top w:val="nil"/>
          <w:left w:val="nil"/>
          <w:bottom w:val="nil"/>
          <w:right w:val="nil"/>
          <w:between w:val="nil"/>
        </w:pBdr>
        <w:spacing w:line="240" w:lineRule="auto"/>
        <w:ind w:right="-28"/>
        <w:jc w:val="center"/>
        <w:rPr>
          <w:rFonts w:ascii="Times New Roman" w:eastAsia="Times New Roman" w:hAnsi="Times New Roman" w:cs="Times New Roman"/>
          <w:b/>
          <w:bCs/>
          <w:color w:val="000000" w:themeColor="text1"/>
          <w:sz w:val="28"/>
          <w:szCs w:val="28"/>
        </w:rPr>
      </w:pPr>
    </w:p>
    <w:p w14:paraId="4D401DCD" w14:textId="6411A245" w:rsidR="001F602B" w:rsidRPr="00CD4F27" w:rsidRDefault="00000000" w:rsidP="00827F70">
      <w:pPr>
        <w:widowControl w:val="0"/>
        <w:pBdr>
          <w:top w:val="nil"/>
          <w:left w:val="nil"/>
          <w:bottom w:val="nil"/>
          <w:right w:val="nil"/>
          <w:between w:val="nil"/>
        </w:pBdr>
        <w:spacing w:line="240" w:lineRule="auto"/>
        <w:ind w:right="-28"/>
        <w:jc w:val="center"/>
        <w:rPr>
          <w:rFonts w:ascii="Times New Roman" w:eastAsia="Times New Roman" w:hAnsi="Times New Roman" w:cs="Times New Roman"/>
          <w:b/>
          <w:bCs/>
          <w:color w:val="000000" w:themeColor="text1"/>
          <w:sz w:val="28"/>
          <w:szCs w:val="28"/>
        </w:rPr>
      </w:pPr>
      <w:r w:rsidRPr="00CD4F27">
        <w:rPr>
          <w:rFonts w:ascii="Times New Roman" w:eastAsia="Times New Roman" w:hAnsi="Times New Roman" w:cs="Times New Roman"/>
          <w:b/>
          <w:bCs/>
          <w:color w:val="000000" w:themeColor="text1"/>
          <w:sz w:val="28"/>
          <w:szCs w:val="28"/>
        </w:rPr>
        <w:t>BẢN SO SÁNH, THUYẾT MINH DỰ THẢO NGHỊ QUYẾT QUY ĐỊNH</w:t>
      </w:r>
      <w:r w:rsidR="001F602B" w:rsidRPr="00CD4F27">
        <w:rPr>
          <w:rFonts w:ascii="Times New Roman" w:eastAsia="Times New Roman" w:hAnsi="Times New Roman" w:cs="Times New Roman"/>
          <w:b/>
          <w:bCs/>
          <w:color w:val="000000" w:themeColor="text1"/>
          <w:sz w:val="28"/>
          <w:szCs w:val="28"/>
        </w:rPr>
        <w:t xml:space="preserve"> CHÍNH SÁCH THU HÚT,</w:t>
      </w:r>
    </w:p>
    <w:p w14:paraId="50C0ED83" w14:textId="3A4D9454" w:rsidR="005A7095" w:rsidRPr="00CD4F27" w:rsidRDefault="001F602B" w:rsidP="00827F70">
      <w:pPr>
        <w:widowControl w:val="0"/>
        <w:pBdr>
          <w:top w:val="nil"/>
          <w:left w:val="nil"/>
          <w:bottom w:val="nil"/>
          <w:right w:val="nil"/>
          <w:between w:val="nil"/>
        </w:pBdr>
        <w:spacing w:line="240" w:lineRule="auto"/>
        <w:ind w:right="-28"/>
        <w:jc w:val="center"/>
        <w:rPr>
          <w:rFonts w:ascii="Times New Roman" w:eastAsia="Times New Roman" w:hAnsi="Times New Roman" w:cs="Times New Roman"/>
          <w:b/>
          <w:bCs/>
          <w:color w:val="000000" w:themeColor="text1"/>
          <w:sz w:val="28"/>
          <w:szCs w:val="28"/>
        </w:rPr>
      </w:pPr>
      <w:r w:rsidRPr="00CD4F27">
        <w:rPr>
          <w:rFonts w:ascii="Times New Roman" w:eastAsia="Times New Roman" w:hAnsi="Times New Roman" w:cs="Times New Roman"/>
          <w:b/>
          <w:bCs/>
          <w:color w:val="000000" w:themeColor="text1"/>
          <w:sz w:val="28"/>
          <w:szCs w:val="28"/>
        </w:rPr>
        <w:t>HỖ TRỢ ĐÀO TẠO PHÁT TRIỂN NGUỒN NHÂN LỰC CHẤT LƯỢNG CAO CỦA TỈNH ĐẮK LẮK</w:t>
      </w:r>
    </w:p>
    <w:p w14:paraId="2693D24A" w14:textId="77777777" w:rsidR="00827F70" w:rsidRPr="00CD4F27" w:rsidRDefault="00827F70" w:rsidP="001F602B">
      <w:pPr>
        <w:widowControl w:val="0"/>
        <w:pBdr>
          <w:top w:val="nil"/>
          <w:left w:val="nil"/>
          <w:bottom w:val="nil"/>
          <w:right w:val="nil"/>
          <w:between w:val="nil"/>
        </w:pBdr>
        <w:spacing w:before="538" w:line="240" w:lineRule="auto"/>
        <w:ind w:right="-29"/>
        <w:jc w:val="center"/>
        <w:rPr>
          <w:rFonts w:ascii="Times New Roman" w:eastAsia="Times New Roman" w:hAnsi="Times New Roman" w:cs="Times New Roman"/>
          <w:b/>
          <w:bCs/>
          <w:color w:val="000000" w:themeColor="text1"/>
          <w:sz w:val="2"/>
          <w:szCs w:val="2"/>
        </w:rPr>
      </w:pPr>
    </w:p>
    <w:tbl>
      <w:tblPr>
        <w:tblStyle w:val="a"/>
        <w:tblW w:w="148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92"/>
        <w:gridCol w:w="5812"/>
        <w:gridCol w:w="5386"/>
      </w:tblGrid>
      <w:tr w:rsidR="00025AD7" w:rsidRPr="00CD4F27" w14:paraId="1E807324" w14:textId="77777777" w:rsidTr="000B3164">
        <w:trPr>
          <w:trHeight w:val="808"/>
          <w:tblHeader/>
        </w:trPr>
        <w:tc>
          <w:tcPr>
            <w:tcW w:w="3692" w:type="dxa"/>
            <w:tcMar>
              <w:top w:w="100" w:type="dxa"/>
              <w:left w:w="100" w:type="dxa"/>
              <w:bottom w:w="100" w:type="dxa"/>
              <w:right w:w="100" w:type="dxa"/>
            </w:tcMar>
            <w:vAlign w:val="center"/>
          </w:tcPr>
          <w:p w14:paraId="0315CEB5" w14:textId="77777777" w:rsidR="00025AD7" w:rsidRPr="00CD4F27" w:rsidRDefault="00025AD7" w:rsidP="004B07D4">
            <w:pPr>
              <w:widowControl w:val="0"/>
              <w:pBdr>
                <w:top w:val="nil"/>
                <w:left w:val="nil"/>
                <w:bottom w:val="nil"/>
                <w:right w:val="nil"/>
                <w:between w:val="nil"/>
              </w:pBdr>
              <w:spacing w:before="60" w:after="60" w:line="240" w:lineRule="auto"/>
              <w:jc w:val="center"/>
              <w:rPr>
                <w:rFonts w:ascii="Times New Roman" w:eastAsia="Times New Roman" w:hAnsi="Times New Roman" w:cs="Times New Roman"/>
                <w:b/>
                <w:bCs/>
                <w:color w:val="000000" w:themeColor="text1"/>
                <w:sz w:val="28"/>
                <w:szCs w:val="28"/>
              </w:rPr>
            </w:pPr>
            <w:r w:rsidRPr="00CD4F27">
              <w:rPr>
                <w:rFonts w:ascii="Times New Roman" w:eastAsia="Times New Roman" w:hAnsi="Times New Roman" w:cs="Times New Roman"/>
                <w:b/>
                <w:bCs/>
                <w:color w:val="000000" w:themeColor="text1"/>
                <w:sz w:val="28"/>
                <w:szCs w:val="28"/>
              </w:rPr>
              <w:t>QUY PHẠM PHÁP LUẬT</w:t>
            </w:r>
          </w:p>
          <w:p w14:paraId="0CB9D77A" w14:textId="5CFD78F2" w:rsidR="00025AD7" w:rsidRPr="00CD4F27" w:rsidRDefault="00025AD7" w:rsidP="004B07D4">
            <w:pPr>
              <w:widowControl w:val="0"/>
              <w:pBdr>
                <w:top w:val="nil"/>
                <w:left w:val="nil"/>
                <w:bottom w:val="nil"/>
                <w:right w:val="nil"/>
                <w:between w:val="nil"/>
              </w:pBdr>
              <w:spacing w:before="60" w:after="60" w:line="240" w:lineRule="auto"/>
              <w:jc w:val="center"/>
              <w:rPr>
                <w:rFonts w:ascii="Times New Roman" w:eastAsia="Times New Roman" w:hAnsi="Times New Roman" w:cs="Times New Roman"/>
                <w:b/>
                <w:bCs/>
                <w:color w:val="000000" w:themeColor="text1"/>
                <w:sz w:val="28"/>
                <w:szCs w:val="28"/>
              </w:rPr>
            </w:pPr>
            <w:r w:rsidRPr="00CD4F27">
              <w:rPr>
                <w:rFonts w:ascii="Times New Roman" w:eastAsia="Times New Roman" w:hAnsi="Times New Roman" w:cs="Times New Roman"/>
                <w:b/>
                <w:bCs/>
                <w:color w:val="000000" w:themeColor="text1"/>
                <w:sz w:val="28"/>
                <w:szCs w:val="28"/>
              </w:rPr>
              <w:t>HIỆN HÀNH</w:t>
            </w:r>
          </w:p>
        </w:tc>
        <w:tc>
          <w:tcPr>
            <w:tcW w:w="5812" w:type="dxa"/>
            <w:vAlign w:val="center"/>
          </w:tcPr>
          <w:p w14:paraId="3D94BE6F" w14:textId="426EACD1" w:rsidR="00025AD7" w:rsidRPr="00CD4F27" w:rsidRDefault="00025AD7" w:rsidP="00ED0864">
            <w:pPr>
              <w:widowControl w:val="0"/>
              <w:pBdr>
                <w:top w:val="nil"/>
                <w:left w:val="nil"/>
                <w:bottom w:val="nil"/>
                <w:right w:val="nil"/>
                <w:between w:val="nil"/>
              </w:pBdr>
              <w:spacing w:before="60" w:after="60" w:line="240" w:lineRule="auto"/>
              <w:jc w:val="center"/>
              <w:rPr>
                <w:rFonts w:ascii="Times New Roman" w:eastAsia="Times New Roman" w:hAnsi="Times New Roman" w:cs="Times New Roman"/>
                <w:b/>
                <w:bCs/>
                <w:color w:val="000000" w:themeColor="text1"/>
                <w:sz w:val="28"/>
                <w:szCs w:val="28"/>
              </w:rPr>
            </w:pPr>
            <w:r w:rsidRPr="00CD4F27">
              <w:rPr>
                <w:rFonts w:ascii="Times New Roman" w:eastAsia="Times New Roman" w:hAnsi="Times New Roman" w:cs="Times New Roman"/>
                <w:b/>
                <w:bCs/>
                <w:color w:val="000000" w:themeColor="text1"/>
                <w:sz w:val="28"/>
                <w:szCs w:val="28"/>
              </w:rPr>
              <w:t>DỰ THẢO VĂN BẢN</w:t>
            </w:r>
          </w:p>
        </w:tc>
        <w:tc>
          <w:tcPr>
            <w:tcW w:w="5386" w:type="dxa"/>
            <w:tcMar>
              <w:top w:w="100" w:type="dxa"/>
              <w:left w:w="100" w:type="dxa"/>
              <w:bottom w:w="100" w:type="dxa"/>
              <w:right w:w="100" w:type="dxa"/>
            </w:tcMar>
            <w:vAlign w:val="center"/>
          </w:tcPr>
          <w:p w14:paraId="287EAB5A" w14:textId="1351A0DB" w:rsidR="00025AD7" w:rsidRPr="00CD4F27" w:rsidRDefault="00025AD7" w:rsidP="004B07D4">
            <w:pPr>
              <w:widowControl w:val="0"/>
              <w:pBdr>
                <w:top w:val="nil"/>
                <w:left w:val="nil"/>
                <w:bottom w:val="nil"/>
                <w:right w:val="nil"/>
                <w:between w:val="nil"/>
              </w:pBdr>
              <w:spacing w:before="60" w:after="60" w:line="240" w:lineRule="auto"/>
              <w:jc w:val="center"/>
              <w:rPr>
                <w:rFonts w:ascii="Times New Roman" w:eastAsia="Times New Roman" w:hAnsi="Times New Roman" w:cs="Times New Roman"/>
                <w:b/>
                <w:bCs/>
                <w:color w:val="000000" w:themeColor="text1"/>
                <w:sz w:val="28"/>
                <w:szCs w:val="28"/>
              </w:rPr>
            </w:pPr>
            <w:r w:rsidRPr="00CD4F27">
              <w:rPr>
                <w:rFonts w:ascii="Times New Roman" w:eastAsia="Times New Roman" w:hAnsi="Times New Roman" w:cs="Times New Roman"/>
                <w:b/>
                <w:bCs/>
                <w:color w:val="000000" w:themeColor="text1"/>
                <w:sz w:val="28"/>
                <w:szCs w:val="28"/>
              </w:rPr>
              <w:t>THUYẾT MINH</w:t>
            </w:r>
          </w:p>
        </w:tc>
      </w:tr>
      <w:tr w:rsidR="00025AD7" w:rsidRPr="007F39DA" w14:paraId="52497B1B" w14:textId="77777777" w:rsidTr="000B3164">
        <w:trPr>
          <w:trHeight w:val="20"/>
        </w:trPr>
        <w:tc>
          <w:tcPr>
            <w:tcW w:w="3692" w:type="dxa"/>
            <w:tcMar>
              <w:top w:w="100" w:type="dxa"/>
              <w:left w:w="100" w:type="dxa"/>
              <w:bottom w:w="100" w:type="dxa"/>
              <w:right w:w="100" w:type="dxa"/>
            </w:tcMar>
          </w:tcPr>
          <w:p w14:paraId="40CDDE94" w14:textId="3AEDA57F"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rPr>
            </w:pPr>
            <w:r w:rsidRPr="00CD4F27">
              <w:rPr>
                <w:rFonts w:ascii="Times New Roman" w:eastAsia="Times New Roman" w:hAnsi="Times New Roman" w:cs="Times New Roman"/>
                <w:color w:val="000000" w:themeColor="text1"/>
                <w:sz w:val="28"/>
                <w:szCs w:val="28"/>
              </w:rPr>
              <w:t>- Điều 4 Luật Cán bộ, công chức số 80/2025/QH15;</w:t>
            </w:r>
          </w:p>
          <w:p w14:paraId="438226FB" w14:textId="46A9AE91"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rPr>
            </w:pPr>
            <w:r w:rsidRPr="00CD4F27">
              <w:rPr>
                <w:rFonts w:ascii="Times New Roman" w:eastAsia="Times New Roman" w:hAnsi="Times New Roman" w:cs="Times New Roman"/>
                <w:color w:val="000000" w:themeColor="text1"/>
                <w:sz w:val="28"/>
                <w:szCs w:val="28"/>
              </w:rPr>
              <w:t>- Khoản 4 Điều 3 và điểm b khoản 1 Điều 21 Nghị định 179/2024/NĐ-CP ngày 31/12/2024 của Chính phủ;</w:t>
            </w:r>
          </w:p>
          <w:p w14:paraId="5E6EA421" w14:textId="77777777"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hAnsi="Times New Roman" w:cs="Times New Roman"/>
                <w:color w:val="000000" w:themeColor="text1"/>
                <w:sz w:val="28"/>
                <w:szCs w:val="28"/>
              </w:rPr>
            </w:pPr>
            <w:r w:rsidRPr="00CD4F27">
              <w:rPr>
                <w:rFonts w:ascii="Times New Roman" w:eastAsia="Times New Roman" w:hAnsi="Times New Roman" w:cs="Times New Roman"/>
                <w:color w:val="000000" w:themeColor="text1"/>
                <w:sz w:val="28"/>
                <w:szCs w:val="28"/>
              </w:rPr>
              <w:t xml:space="preserve">- Khoản 1 Điều 37 </w:t>
            </w:r>
            <w:r w:rsidRPr="00CD4F27">
              <w:rPr>
                <w:rFonts w:ascii="Times New Roman" w:hAnsi="Times New Roman" w:cs="Times New Roman"/>
                <w:color w:val="000000" w:themeColor="text1"/>
                <w:sz w:val="28"/>
                <w:szCs w:val="28"/>
                <w:lang w:val="vi-VN"/>
              </w:rPr>
              <w:t>Nghị định số 171/2025/NĐ-CP ngày 30</w:t>
            </w:r>
            <w:r w:rsidRPr="00CD4F27">
              <w:rPr>
                <w:rFonts w:ascii="Times New Roman" w:hAnsi="Times New Roman" w:cs="Times New Roman"/>
                <w:color w:val="000000" w:themeColor="text1"/>
                <w:sz w:val="28"/>
                <w:szCs w:val="28"/>
              </w:rPr>
              <w:t>/</w:t>
            </w:r>
            <w:r w:rsidRPr="00CD4F27">
              <w:rPr>
                <w:rFonts w:ascii="Times New Roman" w:hAnsi="Times New Roman" w:cs="Times New Roman"/>
                <w:color w:val="000000" w:themeColor="text1"/>
                <w:sz w:val="28"/>
                <w:szCs w:val="28"/>
                <w:lang w:val="vi-VN"/>
              </w:rPr>
              <w:t>6</w:t>
            </w:r>
            <w:r w:rsidRPr="00CD4F27">
              <w:rPr>
                <w:rFonts w:ascii="Times New Roman" w:hAnsi="Times New Roman" w:cs="Times New Roman"/>
                <w:color w:val="000000" w:themeColor="text1"/>
                <w:sz w:val="28"/>
                <w:szCs w:val="28"/>
              </w:rPr>
              <w:t>/</w:t>
            </w:r>
            <w:r w:rsidRPr="00CD4F27">
              <w:rPr>
                <w:rFonts w:ascii="Times New Roman" w:hAnsi="Times New Roman" w:cs="Times New Roman"/>
                <w:color w:val="000000" w:themeColor="text1"/>
                <w:sz w:val="28"/>
                <w:szCs w:val="28"/>
                <w:lang w:val="vi-VN"/>
              </w:rPr>
              <w:t>2025 của Chính phủ</w:t>
            </w:r>
            <w:r w:rsidRPr="00CD4F27">
              <w:rPr>
                <w:rFonts w:ascii="Times New Roman" w:hAnsi="Times New Roman" w:cs="Times New Roman"/>
                <w:color w:val="000000" w:themeColor="text1"/>
                <w:sz w:val="28"/>
                <w:szCs w:val="28"/>
              </w:rPr>
              <w:t>;</w:t>
            </w:r>
          </w:p>
          <w:p w14:paraId="34E0BDF1" w14:textId="14B6A810"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rPr>
            </w:pPr>
            <w:r w:rsidRPr="00CD4F27">
              <w:rPr>
                <w:rFonts w:ascii="Times New Roman" w:hAnsi="Times New Roman" w:cs="Times New Roman"/>
                <w:color w:val="000000" w:themeColor="text1"/>
                <w:sz w:val="28"/>
                <w:szCs w:val="28"/>
              </w:rPr>
              <w:t>- Khoản 1 Điều 42 Nghị định số 101/2017/NĐ-CP ngày 01/9/2017 của Chính phủ.</w:t>
            </w:r>
          </w:p>
        </w:tc>
        <w:tc>
          <w:tcPr>
            <w:tcW w:w="5812" w:type="dxa"/>
          </w:tcPr>
          <w:p w14:paraId="4EA7EEC6" w14:textId="77777777" w:rsidR="001B3FAF" w:rsidRPr="00CD4F27" w:rsidRDefault="001B3FAF" w:rsidP="0010000B">
            <w:pP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hAnsi="Times New Roman" w:cs="Times New Roman"/>
                <w:b/>
                <w:color w:val="000000" w:themeColor="text1"/>
                <w:sz w:val="28"/>
                <w:szCs w:val="28"/>
                <w:lang w:val="vi-VN"/>
              </w:rPr>
              <w:t xml:space="preserve">Điều 1. </w:t>
            </w:r>
            <w:r w:rsidRPr="00CD4F27">
              <w:rPr>
                <w:rFonts w:ascii="Times New Roman" w:hAnsi="Times New Roman" w:cs="Times New Roman"/>
                <w:b/>
                <w:bCs/>
                <w:color w:val="000000" w:themeColor="text1"/>
                <w:sz w:val="28"/>
                <w:szCs w:val="28"/>
                <w:lang w:val="vi-VN"/>
              </w:rPr>
              <w:t>P</w:t>
            </w:r>
            <w:r w:rsidRPr="00CD4F27">
              <w:rPr>
                <w:rFonts w:ascii="Times New Roman" w:eastAsia="Times New Roman" w:hAnsi="Times New Roman" w:cs="Times New Roman"/>
                <w:b/>
                <w:bCs/>
                <w:color w:val="000000" w:themeColor="text1"/>
                <w:sz w:val="28"/>
                <w:szCs w:val="28"/>
                <w:lang w:val="vi-VN"/>
              </w:rPr>
              <w:t xml:space="preserve">hạm vi điều chỉnh </w:t>
            </w:r>
          </w:p>
          <w:p w14:paraId="4356FEE0" w14:textId="1B800390" w:rsidR="00025AD7" w:rsidRPr="00CD4F27" w:rsidRDefault="001B3FAF" w:rsidP="0010000B">
            <w:pPr>
              <w:spacing w:before="80" w:after="80" w:line="240" w:lineRule="auto"/>
              <w:ind w:firstLine="331"/>
              <w:jc w:val="both"/>
              <w:rPr>
                <w:rFonts w:ascii="Times New Roman" w:hAnsi="Times New Roman" w:cs="Times New Roman"/>
                <w:color w:val="000000" w:themeColor="text1"/>
                <w:spacing w:val="-2"/>
                <w:sz w:val="28"/>
                <w:szCs w:val="28"/>
                <w:lang w:val="vi-VN"/>
              </w:rPr>
            </w:pPr>
            <w:r w:rsidRPr="00CD4F27">
              <w:rPr>
                <w:rFonts w:ascii="Times New Roman" w:hAnsi="Times New Roman" w:cs="Times New Roman"/>
                <w:color w:val="000000" w:themeColor="text1"/>
                <w:spacing w:val="-2"/>
                <w:sz w:val="28"/>
                <w:szCs w:val="28"/>
                <w:lang w:val="vi-VN"/>
              </w:rPr>
              <w:t xml:space="preserve">Nghị quyết này quy định </w:t>
            </w:r>
            <w:bookmarkStart w:id="0" w:name="_Hlk208780068"/>
            <w:bookmarkStart w:id="1" w:name="_Hlk208780988"/>
            <w:r w:rsidRPr="00CD4F27">
              <w:rPr>
                <w:rFonts w:ascii="Times New Roman" w:hAnsi="Times New Roman" w:cs="Times New Roman"/>
                <w:color w:val="000000" w:themeColor="text1"/>
                <w:spacing w:val="-2"/>
                <w:sz w:val="28"/>
                <w:szCs w:val="28"/>
                <w:lang w:val="vi-VN"/>
              </w:rPr>
              <w:t>chính sách thu hút, hỗ trợ đào tạo phát triển nguồn nhân lực chất lượng cao trong các cơ quan</w:t>
            </w:r>
            <w:r w:rsidRPr="00CD4F27">
              <w:rPr>
                <w:color w:val="000000" w:themeColor="text1"/>
                <w:spacing w:val="-2"/>
                <w:lang w:val="vi-VN"/>
              </w:rPr>
              <w:t xml:space="preserve"> </w:t>
            </w:r>
            <w:r w:rsidRPr="00CD4F27">
              <w:rPr>
                <w:rFonts w:ascii="Times New Roman" w:hAnsi="Times New Roman" w:cs="Times New Roman"/>
                <w:color w:val="000000" w:themeColor="text1"/>
                <w:spacing w:val="-2"/>
                <w:sz w:val="28"/>
                <w:szCs w:val="28"/>
                <w:lang w:val="vi-VN"/>
              </w:rPr>
              <w:t xml:space="preserve">của Đảng Cộng sản Việt Nam, Nhà nước, Mặt trận Tổ quốc Việt Nam, các đơn vị sự nghiệp công lập thuộc tỉnh </w:t>
            </w:r>
            <w:bookmarkStart w:id="2" w:name="_Hlk208671778"/>
            <w:r w:rsidRPr="00CD4F27">
              <w:rPr>
                <w:rFonts w:ascii="Times New Roman" w:hAnsi="Times New Roman" w:cs="Times New Roman"/>
                <w:color w:val="000000" w:themeColor="text1"/>
                <w:spacing w:val="-2"/>
                <w:sz w:val="28"/>
                <w:szCs w:val="28"/>
                <w:lang w:val="vi-VN"/>
              </w:rPr>
              <w:t>Đắk Lắk</w:t>
            </w:r>
            <w:bookmarkEnd w:id="0"/>
            <w:bookmarkEnd w:id="1"/>
            <w:bookmarkEnd w:id="2"/>
            <w:r w:rsidRPr="00CD4F27">
              <w:rPr>
                <w:rFonts w:ascii="Times New Roman" w:hAnsi="Times New Roman" w:cs="Times New Roman"/>
                <w:color w:val="000000" w:themeColor="text1"/>
                <w:spacing w:val="-2"/>
                <w:sz w:val="28"/>
                <w:szCs w:val="28"/>
                <w:lang w:val="vi-VN"/>
              </w:rPr>
              <w:t xml:space="preserve"> (sau đây gọi chung là cơ quan, đơn vị của tỉnh), giai đoạn 2026 - 2031</w:t>
            </w:r>
            <w:r w:rsidRPr="00CD4F27">
              <w:rPr>
                <w:color w:val="000000" w:themeColor="text1"/>
                <w:spacing w:val="-2"/>
                <w:lang w:val="vi-VN"/>
              </w:rPr>
              <w:t xml:space="preserve"> </w:t>
            </w:r>
            <w:r w:rsidRPr="00CD4F27">
              <w:rPr>
                <w:rFonts w:ascii="Times New Roman" w:hAnsi="Times New Roman" w:cs="Times New Roman"/>
                <w:color w:val="000000" w:themeColor="text1"/>
                <w:spacing w:val="-2"/>
                <w:sz w:val="28"/>
                <w:szCs w:val="28"/>
                <w:lang w:val="vi-VN"/>
              </w:rPr>
              <w:t>(không bao gồm các cơ quan trung ương được tổ chức theo ngành dọc đặt tại tỉnh Đắk Lắk).</w:t>
            </w:r>
          </w:p>
        </w:tc>
        <w:tc>
          <w:tcPr>
            <w:tcW w:w="5386" w:type="dxa"/>
            <w:tcMar>
              <w:top w:w="100" w:type="dxa"/>
              <w:left w:w="100" w:type="dxa"/>
              <w:bottom w:w="100" w:type="dxa"/>
              <w:right w:w="100" w:type="dxa"/>
            </w:tcMar>
          </w:tcPr>
          <w:p w14:paraId="5F72CDAE" w14:textId="21C64254"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pacing w:val="-2"/>
                <w:sz w:val="28"/>
                <w:szCs w:val="28"/>
                <w:lang w:val="vi-VN"/>
              </w:rPr>
            </w:pPr>
            <w:r w:rsidRPr="00CD4F27">
              <w:rPr>
                <w:rFonts w:ascii="Times New Roman" w:eastAsia="Times New Roman" w:hAnsi="Times New Roman" w:cs="Times New Roman"/>
                <w:color w:val="000000" w:themeColor="text1"/>
                <w:spacing w:val="-2"/>
                <w:sz w:val="28"/>
                <w:szCs w:val="28"/>
                <w:lang w:val="vi-VN"/>
              </w:rPr>
              <w:t xml:space="preserve">Nghị quyết này quy định </w:t>
            </w:r>
            <w:r w:rsidRPr="00CD4F27">
              <w:rPr>
                <w:rFonts w:ascii="Times New Roman" w:hAnsi="Times New Roman" w:cs="Times New Roman"/>
                <w:color w:val="000000" w:themeColor="text1"/>
                <w:spacing w:val="-2"/>
                <w:sz w:val="28"/>
                <w:szCs w:val="28"/>
                <w:lang w:val="vi-VN"/>
              </w:rPr>
              <w:t>chính sách thu hút, hỗ trợ đào tạo phát triển nguồn nhân lực chất lượng cao</w:t>
            </w:r>
            <w:r w:rsidRPr="00CD4F27">
              <w:rPr>
                <w:rFonts w:ascii="Times New Roman" w:eastAsia="Times New Roman" w:hAnsi="Times New Roman" w:cs="Times New Roman"/>
                <w:color w:val="000000" w:themeColor="text1"/>
                <w:spacing w:val="-2"/>
                <w:sz w:val="28"/>
                <w:szCs w:val="28"/>
                <w:lang w:val="vi-VN"/>
              </w:rPr>
              <w:t xml:space="preserve"> trong các cơ quan của Đảng Cộng sản Việt Nam, Nhà nước, Mặt trận Tổ quốc Việt Nam, các đơn vị sự nghiệp công lập thuộc tỉnh Đắk Lắk (sau đây gọi chung là cơ quan, đơn vị của tỉnh), giai đoạn 2026-2031 (không bao gồm các cơ quan trung ương được tổ chức theo ngành dọc đặt tại tỉnh Đắk Lắk) trên cơ sở tinh thần Nghị quyết số 57-NQ/TW ngày 22/12/2024 của Bộ Chính trị về đột phá phát triển khoa học, công nghệ, đổi mới sáng tạo và chuyển đổi số quốc gia, các quy định tại Luật Cán bộ, công chức số 80/2025/QH15, Luật Viên chức số 129/2025/QH15, Luật Khoa học, </w:t>
            </w:r>
            <w:r w:rsidRPr="00CD4F27">
              <w:rPr>
                <w:rFonts w:ascii="Times New Roman" w:eastAsia="Times New Roman" w:hAnsi="Times New Roman" w:cs="Times New Roman"/>
                <w:color w:val="000000" w:themeColor="text1"/>
                <w:spacing w:val="-2"/>
                <w:sz w:val="28"/>
                <w:szCs w:val="28"/>
                <w:lang w:val="vi-VN"/>
              </w:rPr>
              <w:lastRenderedPageBreak/>
              <w:t>công nghệ và đổi mới sáng tạo số 93/2025/QH15, Nghị định số 179/2024/NĐ-CP ngày 31/12/2024 của Chính phủ quy định chính sách thu hút, trọng dụng người có tài năng làm việc trong cơ quan, tổ chức, đơn vị của Đảng Cộng sản Việt Nam, Nhà nước, Mặt trận Tổ quốc Việt Nam và các tổ chức chính trị - xã hội, Nghị định số 171/2025/NĐ-CP ngày 30/6/2025 của Chính phủ quy định về đào tạo, bồi dưỡng công chức; Nghị định số 101/2017/NĐ-CP ngày 01/9/2017 của Chính phủ về đào tạo, bồi dưỡng cán bộ, công chức, viên chức.</w:t>
            </w:r>
          </w:p>
        </w:tc>
      </w:tr>
      <w:tr w:rsidR="00025AD7" w:rsidRPr="007F39DA" w14:paraId="526889C9" w14:textId="77777777" w:rsidTr="000B3164">
        <w:trPr>
          <w:trHeight w:val="20"/>
        </w:trPr>
        <w:tc>
          <w:tcPr>
            <w:tcW w:w="3692" w:type="dxa"/>
            <w:tcMar>
              <w:top w:w="100" w:type="dxa"/>
              <w:left w:w="100" w:type="dxa"/>
              <w:bottom w:w="100" w:type="dxa"/>
              <w:right w:w="100" w:type="dxa"/>
            </w:tcMar>
          </w:tcPr>
          <w:p w14:paraId="39B26926" w14:textId="1D7E45CB"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lastRenderedPageBreak/>
              <w:t>- Khoản 3 Kết luận số 205-KL/TW ngày 07/11/2025 của Ban Chấp hành Trung ương;</w:t>
            </w:r>
          </w:p>
          <w:p w14:paraId="353EB582" w14:textId="16DEC5F5"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Khoản 1 Điều 54 Luật Khoa học, Công nghệ và Đổi mới sáng tạo số 93/2025/QH15;</w:t>
            </w:r>
          </w:p>
          <w:p w14:paraId="16B10505" w14:textId="1DF68FAE"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xml:space="preserve">- Điều 1, Điều 2 và khoản 2, khoản 3 Điều 4 Nghị định 179/2024/NĐ-CP ngày </w:t>
            </w:r>
            <w:r w:rsidRPr="00CD4F27">
              <w:rPr>
                <w:rFonts w:ascii="Times New Roman" w:eastAsia="Times New Roman" w:hAnsi="Times New Roman" w:cs="Times New Roman"/>
                <w:color w:val="000000" w:themeColor="text1"/>
                <w:sz w:val="28"/>
                <w:szCs w:val="28"/>
                <w:lang w:val="vi-VN"/>
              </w:rPr>
              <w:lastRenderedPageBreak/>
              <w:t>31/12/2024 của Chính phủ.</w:t>
            </w:r>
          </w:p>
          <w:p w14:paraId="41A47114" w14:textId="1D502844"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Điều 39 và Điều 40 Nghị định 263/2025/NĐ-CP của Chính phủ.</w:t>
            </w:r>
          </w:p>
          <w:p w14:paraId="12B659AC" w14:textId="0F7A236F"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Điều 3 Nghị định 249/2025/NĐ-CP  của Chính phủ.</w:t>
            </w:r>
          </w:p>
          <w:p w14:paraId="26EC66C7" w14:textId="2F210A0D"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Điều 1, Điều 4 và Điều 5 Nghị định số 171/2025/NĐ-CP ngày 30/6/2025 của Chính phủ;</w:t>
            </w:r>
          </w:p>
          <w:p w14:paraId="6B436D98" w14:textId="367CF369"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Điều 1, Điều 4, Điều 5 và Điều 6 Nghị định số 101/2017/NĐ-CP ngày 01/9/2017 của Chính phủ.</w:t>
            </w:r>
          </w:p>
        </w:tc>
        <w:tc>
          <w:tcPr>
            <w:tcW w:w="5812" w:type="dxa"/>
          </w:tcPr>
          <w:p w14:paraId="4DD5BB20" w14:textId="77777777" w:rsidR="00131289" w:rsidRPr="00CD4F27" w:rsidRDefault="00131289" w:rsidP="0010000B">
            <w:pPr>
              <w:spacing w:before="80" w:after="80" w:line="240" w:lineRule="auto"/>
              <w:ind w:firstLine="331"/>
              <w:jc w:val="both"/>
              <w:rPr>
                <w:rFonts w:ascii="Times New Roman" w:hAnsi="Times New Roman" w:cs="Times New Roman"/>
                <w:b/>
                <w:bCs/>
                <w:color w:val="000000" w:themeColor="text1"/>
                <w:sz w:val="28"/>
                <w:szCs w:val="28"/>
                <w:lang w:val="vi-VN"/>
              </w:rPr>
            </w:pPr>
            <w:r w:rsidRPr="00CD4F27">
              <w:rPr>
                <w:rFonts w:ascii="Times New Roman" w:hAnsi="Times New Roman" w:cs="Times New Roman"/>
                <w:b/>
                <w:bCs/>
                <w:color w:val="000000" w:themeColor="text1"/>
                <w:sz w:val="28"/>
                <w:szCs w:val="28"/>
                <w:lang w:val="vi-VN"/>
              </w:rPr>
              <w:lastRenderedPageBreak/>
              <w:t>Điều 2. Đối tượng áp dụng</w:t>
            </w:r>
          </w:p>
          <w:p w14:paraId="1B78A89F"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1. Đối tượng thu hút</w:t>
            </w:r>
          </w:p>
          <w:p w14:paraId="7EE9A81C"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Cá nhân được thu hút là người có trình độ đại học trở lên thuộc các ngành, lĩnh vực trọng tâm, ưu tiên thu hút được quy định tại Điều 4 Nghị quyết này và thuộc một trong các đối tượng sau:</w:t>
            </w:r>
          </w:p>
          <w:p w14:paraId="64E33DE5" w14:textId="77777777" w:rsidR="00131289" w:rsidRPr="00CD4F27" w:rsidRDefault="00131289" w:rsidP="0010000B">
            <w:pPr>
              <w:widowControl w:val="0"/>
              <w:tabs>
                <w:tab w:val="left" w:pos="6957"/>
              </w:tabs>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 xml:space="preserve">a) Sinh viên tốt nghiệp xuất sắc theo khoản 2 Điều 4 Nghị định số 179/2024/NĐ-CP quy định chính sách thu hút, trọng dụng người có tài năng làm việc trong cơ quan, tổ chức, đơn vị của Đảng </w:t>
            </w:r>
            <w:r w:rsidRPr="00CD4F27">
              <w:rPr>
                <w:rFonts w:ascii="Times New Roman" w:hAnsi="Times New Roman" w:cs="Times New Roman"/>
                <w:color w:val="000000" w:themeColor="text1"/>
                <w:sz w:val="28"/>
                <w:szCs w:val="28"/>
                <w:lang w:val="vi-VN"/>
              </w:rPr>
              <w:lastRenderedPageBreak/>
              <w:t>Cộng sản Việt Nam, Nhà nước, Mặt trận Tổ quốc Việt Nam và các tổ chức chính trị - xã hội.</w:t>
            </w:r>
          </w:p>
          <w:p w14:paraId="7CCA609D"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b) Nhà khoa học trẻ tài năng, kỹ sư trẻ tài năng theo Điều 39 và Điều 40 Nghị định số 263/2025/NĐ-CP quy định chi tiết và hướng dẫn một số điều của Luật Khoa học, công nghệ và đổi mới sáng tạo về cơ chế tự chủ, tự chịu trách nhiệm của tổ chức khoa học và công nghệ công lập, nhân lực, nhân tài và giải thưởng trong lĩnh vực khoa học, công nghệ và đổi mới sáng tạo.</w:t>
            </w:r>
          </w:p>
          <w:p w14:paraId="7AE972D9"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pacing w:val="-4"/>
                <w:sz w:val="28"/>
                <w:szCs w:val="28"/>
                <w:lang w:val="vi-VN"/>
              </w:rPr>
            </w:pPr>
            <w:r w:rsidRPr="00CD4F27">
              <w:rPr>
                <w:rFonts w:ascii="Times New Roman" w:hAnsi="Times New Roman" w:cs="Times New Roman"/>
                <w:color w:val="000000" w:themeColor="text1"/>
                <w:spacing w:val="-4"/>
                <w:sz w:val="28"/>
                <w:szCs w:val="28"/>
                <w:lang w:val="vi-VN"/>
              </w:rPr>
              <w:t>c) Chuyên gia, nhà quản lý, nhà quản trị doanh nghiệp, nhà khoa học đầu ngành là người Việt Nam hoặc là người nước ngoài theo khoản 3 Điều 4 Nghị định số 179/2024/NĐ-CP.</w:t>
            </w:r>
          </w:p>
          <w:p w14:paraId="68E7ECEF"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pacing w:val="-4"/>
                <w:sz w:val="28"/>
                <w:szCs w:val="28"/>
                <w:lang w:val="vi-VN"/>
              </w:rPr>
            </w:pPr>
            <w:r w:rsidRPr="00CD4F27">
              <w:rPr>
                <w:rFonts w:ascii="Times New Roman" w:hAnsi="Times New Roman" w:cs="Times New Roman"/>
                <w:color w:val="000000" w:themeColor="text1"/>
                <w:spacing w:val="-4"/>
                <w:sz w:val="28"/>
                <w:szCs w:val="28"/>
                <w:lang w:val="vi-VN"/>
              </w:rPr>
              <w:t>d) Nhân tài trong lĩnh vực khoa học, công nghệ và đổi mới, sáng tạo theo khoản 1 Điều 54 Luật Khoa học, công nghệ và đổi mới, sáng tạo số 93/2025/QH15.</w:t>
            </w:r>
          </w:p>
          <w:p w14:paraId="247981A4"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pacing w:val="-4"/>
                <w:sz w:val="28"/>
                <w:szCs w:val="28"/>
                <w:lang w:val="vi-VN"/>
              </w:rPr>
            </w:pPr>
            <w:r w:rsidRPr="00CD4F27">
              <w:rPr>
                <w:rFonts w:ascii="Times New Roman" w:hAnsi="Times New Roman" w:cs="Times New Roman"/>
                <w:color w:val="000000" w:themeColor="text1"/>
                <w:spacing w:val="-4"/>
                <w:sz w:val="28"/>
                <w:szCs w:val="28"/>
                <w:lang w:val="vi-VN"/>
              </w:rPr>
              <w:t>đ) Chuyên gia khoa học, công nghệ, đổi mới sáng tạo và chuyển đổi số theo Điều 3 Nghị định số 249/2025/NĐ-CP quy định cơ chế, chính sách thu hút</w:t>
            </w:r>
            <w:r w:rsidRPr="00CD4F27">
              <w:rPr>
                <w:color w:val="000000" w:themeColor="text1"/>
                <w:lang w:val="vi-VN"/>
              </w:rPr>
              <w:t xml:space="preserve"> </w:t>
            </w:r>
            <w:r w:rsidRPr="00CD4F27">
              <w:rPr>
                <w:rFonts w:ascii="Times New Roman" w:hAnsi="Times New Roman" w:cs="Times New Roman"/>
                <w:color w:val="000000" w:themeColor="text1"/>
                <w:spacing w:val="-4"/>
                <w:sz w:val="28"/>
                <w:szCs w:val="28"/>
                <w:lang w:val="vi-VN"/>
              </w:rPr>
              <w:t>chuyên gia khoa học, công nghệ, đổi mới sáng tạo và chuyển đổi số.</w:t>
            </w:r>
          </w:p>
          <w:p w14:paraId="646F2ADF"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lastRenderedPageBreak/>
              <w:t>2. Đối tượng hỗ trợ đào tạo</w:t>
            </w:r>
          </w:p>
          <w:p w14:paraId="17CC92FE"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a) Cán bộ, công chức, viên chức đang làm việc tại các cơ quan, đơn vị của tỉnh được cấp có thẩm quyền cử đi đào tạo sau đại học thuộc các ngành, lĩnh vực trọng tâm, ưu tiên thu hút được quy định tại Điều 4 Nghị quyết này.</w:t>
            </w:r>
          </w:p>
          <w:p w14:paraId="1E2FD5EB"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b) Công chức, viên chức ngành y tế được cấp có thẩm quyền cử đi đào tạo chuyên ngành y trình độ thạc sĩ, tiến sĩ, chuyên khoa cấp I, chuyên khoa cấp II, bác sĩ nội trú.</w:t>
            </w:r>
          </w:p>
          <w:p w14:paraId="2C2E6254"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c) Viên chức là giảng viên các trường đại học, cao đẳng, trung cấp của tỉnh được cấp có thẩm quyền cử đi đào tạo trình độ tiến sĩ trở lên phù hợp lĩnh vực mà đơn vị có nhu cầu.</w:t>
            </w:r>
          </w:p>
          <w:p w14:paraId="0A7EEEB6"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d) Đối với các cơ quan, đơn vị, địa phương không tuyển dụng hoặc tiếp nhận được người đảm nhận vị trí việc làm về công nghệ thông tin thực hiện hỗ trợ để công chức, viên chức đi đào tạo trình độ cử nhân văn bằng hai các ngành, chuyên ngành liên quan đến công nghệ thông tin.</w:t>
            </w:r>
          </w:p>
          <w:p w14:paraId="79B2DC22" w14:textId="42986674" w:rsidR="00025AD7" w:rsidRPr="00CD4F27" w:rsidRDefault="00131289"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3. Các cơ quan, đơn vị, tổ chức, cá nhân có liên quan.</w:t>
            </w:r>
          </w:p>
        </w:tc>
        <w:tc>
          <w:tcPr>
            <w:tcW w:w="5386" w:type="dxa"/>
            <w:tcMar>
              <w:top w:w="100" w:type="dxa"/>
              <w:left w:w="100" w:type="dxa"/>
              <w:bottom w:w="100" w:type="dxa"/>
              <w:right w:w="100" w:type="dxa"/>
            </w:tcMar>
          </w:tcPr>
          <w:p w14:paraId="71922C71" w14:textId="7B7CB183"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pacing w:val="-2"/>
                <w:sz w:val="28"/>
                <w:szCs w:val="28"/>
                <w:lang w:val="vi-VN"/>
              </w:rPr>
            </w:pPr>
            <w:r w:rsidRPr="00CD4F27">
              <w:rPr>
                <w:rFonts w:ascii="Times New Roman" w:eastAsia="Times New Roman" w:hAnsi="Times New Roman" w:cs="Times New Roman"/>
                <w:color w:val="000000" w:themeColor="text1"/>
                <w:spacing w:val="-2"/>
                <w:sz w:val="28"/>
                <w:szCs w:val="28"/>
                <w:lang w:val="vi-VN"/>
              </w:rPr>
              <w:lastRenderedPageBreak/>
              <w:t>Điều 2 của Nghị quyết quy định cụ thể nhóm đối tượng chịu sự điều chỉnh của Nghị quyết.</w:t>
            </w:r>
          </w:p>
          <w:p w14:paraId="3D314877" w14:textId="4BE2E8DB"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xml:space="preserve">Trên cơ sở các quy định tại Luật Cán bộ, công chức, Luật Viên chức, Luật Khoa học, Công nghệ và Đổi mới sáng tạo, Nghị định số 179/2024/NĐ-CP ngày 31/12/2024 của Chính phủ, Nghị định số 249/2025/NĐ-CP ngày 19/9/2025 quy định của Chính phủ quy định cơ chế, chính sách thu hút chuyên gia khoa học, công nghệ, đổi mới sáng tạo và chuyển đổi số, Nghị định số 263/2025/NĐ-CP ngày </w:t>
            </w:r>
            <w:r w:rsidRPr="00CD4F27">
              <w:rPr>
                <w:rFonts w:ascii="Times New Roman" w:eastAsia="Times New Roman" w:hAnsi="Times New Roman" w:cs="Times New Roman"/>
                <w:color w:val="000000" w:themeColor="text1"/>
                <w:sz w:val="28"/>
                <w:szCs w:val="28"/>
                <w:lang w:val="vi-VN"/>
              </w:rPr>
              <w:lastRenderedPageBreak/>
              <w:t>14/10/2025 của Chính phủ quy định chi tiết và hướng dẫn một số điều của Luật Khoa học, công nghệ và đổi mới sáng tạo về cơ chế tự chủ, tự chịu trách nhiệm của tổ chức khoa học và công nghệ công lập, nhân lực, nhân tài và giải thưởng trong lĩnh vực khoa học, công nghệ và đổi mới sáng tạo.</w:t>
            </w:r>
          </w:p>
          <w:p w14:paraId="4E9FDDA0" w14:textId="260A81EE"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pacing w:val="-4"/>
                <w:sz w:val="28"/>
                <w:szCs w:val="28"/>
                <w:lang w:val="vi-VN"/>
              </w:rPr>
            </w:pPr>
            <w:r w:rsidRPr="00CD4F27">
              <w:rPr>
                <w:rFonts w:ascii="Times New Roman" w:eastAsia="Times New Roman" w:hAnsi="Times New Roman" w:cs="Times New Roman"/>
                <w:color w:val="000000" w:themeColor="text1"/>
                <w:spacing w:val="-4"/>
                <w:sz w:val="28"/>
                <w:szCs w:val="28"/>
                <w:lang w:val="vi-VN"/>
              </w:rPr>
              <w:t xml:space="preserve">Khoản 1 Điều 2 quy định cụ thể đối tượng thu hút trên cơ sở quy định của Trung ương (về sinh viên tốt nghiệp xuất sắc, Chuyên gia, nhà quản lý, nhà quản trị doanh nghiệp, nhà khoa học đầu ngành theo quy định tại Nghị định số 179/2024/NĐ-CP; nhà khoa học trẻ tài năng, kỹ sư trẻ tài năng theo quy định tại Nghị định số 263/2025/NĐ-CP; nhân tài về khoa học, công nghệ và đổi mới sáng tạo theo quy định tại Luật Khoa học, Công nghệ và Đổi mới sáng tạo; </w:t>
            </w:r>
            <w:r w:rsidRPr="00CD4F27">
              <w:rPr>
                <w:rFonts w:ascii="Times New Roman" w:hAnsi="Times New Roman" w:cs="Times New Roman"/>
                <w:color w:val="000000" w:themeColor="text1"/>
                <w:spacing w:val="-4"/>
                <w:sz w:val="28"/>
                <w:szCs w:val="28"/>
                <w:lang w:val="vi-VN"/>
              </w:rPr>
              <w:t>Chuyên gia khoa học, công nghệ, đổi mới sáng tạo và chuyển đổi số theo quy định tại Nghị định số 249/2025/NĐ-CP</w:t>
            </w:r>
            <w:r w:rsidRPr="00CD4F27">
              <w:rPr>
                <w:rFonts w:ascii="Times New Roman" w:eastAsia="Times New Roman" w:hAnsi="Times New Roman" w:cs="Times New Roman"/>
                <w:color w:val="000000" w:themeColor="text1"/>
                <w:spacing w:val="-4"/>
                <w:sz w:val="28"/>
                <w:szCs w:val="28"/>
                <w:lang w:val="vi-VN"/>
              </w:rPr>
              <w:t>). Việc xác định đối tượng thu hút đảm bảo việc tuyển chọn có cơ sở pháp lý vững chắc và tránh được sự tùy tiện, cảm tính.</w:t>
            </w:r>
          </w:p>
          <w:p w14:paraId="7C751E75" w14:textId="220D166B"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Khoản 2 Điều 2 quy định cụ thể đối tượng hỗ trợ đào tạo.</w:t>
            </w:r>
            <w:r w:rsidRPr="00CD4F27">
              <w:rPr>
                <w:color w:val="000000" w:themeColor="text1"/>
                <w:lang w:val="vi-VN"/>
              </w:rPr>
              <w:t xml:space="preserve"> </w:t>
            </w:r>
            <w:r w:rsidRPr="00CD4F27">
              <w:rPr>
                <w:rFonts w:ascii="Times New Roman" w:eastAsia="Times New Roman" w:hAnsi="Times New Roman" w:cs="Times New Roman"/>
                <w:color w:val="000000" w:themeColor="text1"/>
                <w:sz w:val="28"/>
                <w:szCs w:val="28"/>
                <w:lang w:val="vi-VN"/>
              </w:rPr>
              <w:t xml:space="preserve">Các nhóm đối tượng như: Cán </w:t>
            </w:r>
            <w:r w:rsidRPr="00CD4F27">
              <w:rPr>
                <w:rFonts w:ascii="Times New Roman" w:eastAsia="Times New Roman" w:hAnsi="Times New Roman" w:cs="Times New Roman"/>
                <w:color w:val="000000" w:themeColor="text1"/>
                <w:sz w:val="28"/>
                <w:szCs w:val="28"/>
                <w:lang w:val="vi-VN"/>
              </w:rPr>
              <w:lastRenderedPageBreak/>
              <w:t xml:space="preserve">bộ, công chức, viên chức đang làm việc tại các cơ quan, đơn vị của tỉnh được cấp có thẩm quyền cử đi đào tạo sau đại học thuộc các ngành, lĩnh vực trọng tâm, ưu tiên thu hút được quy định tại Điều 4 Nghị quyết này; Công chức, viên chức ngành y tế được cấp có thẩm quyền cử đi đào tạo chuyên ngành y trình độ thạc sĩ, tiến sĩ, chuyên khoa cấp I, chuyên khoa cấp II, bác sĩ nội trú; Viên chức là giảng viên các trường đại học, cao đẳng, trung cấp của tỉnh được cấp có thẩm quyền cử đi đào tạo trình độ tiến sĩ trở lên phù hợp lĩnh vực mà đơn vị có nhu cầu thể hiện mục tiêu bồi dưỡng, phát triển nguồn nhân lực chất lượng cao từ nguồn lực có sẵn. Riêng đối với nhóm đối tượng là công chức, viên chức được cử đi đào tạo trình độ cử nhân văn bằng hai các ngành, chuyên ngành liên quan đến công nghệ thông tin nhằm mục tiêu cơ cấu lại nguồn nhân lực tại cơ quan, đơn vị, địa phương; bổ sung nhân lực có trình độ công nghệ thông tin khi không thể tuyển dụng được từ đó xây dựng đội ngũ công chức, viên chức công nghệ thông tin chuyên trách có trình độ, năng lực đáp ứng các mục tiêu đề ra </w:t>
            </w:r>
            <w:r w:rsidRPr="00CD4F27">
              <w:rPr>
                <w:rFonts w:ascii="Times New Roman" w:eastAsia="Times New Roman" w:hAnsi="Times New Roman" w:cs="Times New Roman"/>
                <w:color w:val="000000" w:themeColor="text1"/>
                <w:sz w:val="28"/>
                <w:szCs w:val="28"/>
                <w:lang w:val="vi-VN"/>
              </w:rPr>
              <w:lastRenderedPageBreak/>
              <w:t>trong giai đoạn chuyển đổi số hiện nay.</w:t>
            </w:r>
          </w:p>
          <w:p w14:paraId="17CDEF78" w14:textId="498D5A41"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Đối tượng thực hiện và quản lý là các cơ quan, đơn vị, cá nhân có liên quan trong thực hiện triển khai chính sách.</w:t>
            </w:r>
          </w:p>
        </w:tc>
      </w:tr>
      <w:tr w:rsidR="00025AD7" w:rsidRPr="007F39DA" w14:paraId="6C87B40E" w14:textId="77777777" w:rsidTr="000B3164">
        <w:trPr>
          <w:trHeight w:val="20"/>
        </w:trPr>
        <w:tc>
          <w:tcPr>
            <w:tcW w:w="3692" w:type="dxa"/>
            <w:tcMar>
              <w:top w:w="100" w:type="dxa"/>
              <w:left w:w="100" w:type="dxa"/>
              <w:bottom w:w="100" w:type="dxa"/>
              <w:right w:w="100" w:type="dxa"/>
            </w:tcMar>
          </w:tcPr>
          <w:p w14:paraId="78806C23" w14:textId="3A0C11E7"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lastRenderedPageBreak/>
              <w:t>- Điều 3 Nghị định 179/2024/NĐ-CP ngày 31/12/2024 của Chính phủ;</w:t>
            </w:r>
          </w:p>
          <w:p w14:paraId="0D329DCA" w14:textId="77777777"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Điều 2 Nghị định số 171/2025/NĐ-CP ngày 30/6/2025 của Chính phủ;</w:t>
            </w:r>
          </w:p>
          <w:p w14:paraId="19F2647A" w14:textId="5E996794"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Điều 3 Nghị định số 101/2017/NĐ-CP ngày 01/9/2017 của Chính phủ.</w:t>
            </w:r>
          </w:p>
        </w:tc>
        <w:tc>
          <w:tcPr>
            <w:tcW w:w="5812" w:type="dxa"/>
          </w:tcPr>
          <w:p w14:paraId="2F1EA57B" w14:textId="77777777" w:rsidR="00131289" w:rsidRPr="00CD4F27" w:rsidRDefault="00131289" w:rsidP="0010000B">
            <w:pPr>
              <w:spacing w:before="80" w:after="80" w:line="240" w:lineRule="auto"/>
              <w:ind w:firstLine="331"/>
              <w:jc w:val="both"/>
              <w:rPr>
                <w:rFonts w:ascii="Times New Roman" w:hAnsi="Times New Roman" w:cs="Times New Roman"/>
                <w:b/>
                <w:bCs/>
                <w:color w:val="000000" w:themeColor="text1"/>
                <w:sz w:val="28"/>
                <w:szCs w:val="28"/>
                <w:lang w:val="vi-VN"/>
              </w:rPr>
            </w:pPr>
            <w:r w:rsidRPr="00CD4F27">
              <w:rPr>
                <w:rFonts w:ascii="Times New Roman" w:hAnsi="Times New Roman" w:cs="Times New Roman"/>
                <w:b/>
                <w:bCs/>
                <w:color w:val="000000" w:themeColor="text1"/>
                <w:sz w:val="28"/>
                <w:szCs w:val="28"/>
                <w:lang w:val="vi-VN"/>
              </w:rPr>
              <w:t>Điều 3. Nguyên tắc thực hiện</w:t>
            </w:r>
          </w:p>
          <w:p w14:paraId="45BF2D89"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 xml:space="preserve">1. Việc thu hút nguồn nhân lực chất lượng cao và hỗ trợ đào tạo phải bảo đảm nguyên tắc </w:t>
            </w:r>
            <w:bookmarkStart w:id="3" w:name="_Hlk208781045"/>
            <w:r w:rsidRPr="00CD4F27">
              <w:rPr>
                <w:rFonts w:ascii="Times New Roman" w:hAnsi="Times New Roman" w:cs="Times New Roman"/>
                <w:color w:val="000000" w:themeColor="text1"/>
                <w:sz w:val="28"/>
                <w:szCs w:val="28"/>
                <w:lang w:val="vi-VN"/>
              </w:rPr>
              <w:t xml:space="preserve">công khai, minh bạch, khách quan, đúng đối tượng, thẩm quyền, bảo đảm tính thống nhất, đồng bộ, cạnh tranh, công bằng và khả thi từ khâu tuyển chọn, bố trí, sử dụng đến việc áp dụng chính sách </w:t>
            </w:r>
            <w:bookmarkEnd w:id="3"/>
            <w:r w:rsidRPr="00CD4F27">
              <w:rPr>
                <w:rFonts w:ascii="Times New Roman" w:hAnsi="Times New Roman" w:cs="Times New Roman"/>
                <w:color w:val="000000" w:themeColor="text1"/>
                <w:sz w:val="28"/>
                <w:szCs w:val="28"/>
                <w:lang w:val="vi-VN"/>
              </w:rPr>
              <w:t>đãi ngộ.</w:t>
            </w:r>
          </w:p>
          <w:p w14:paraId="5242B00B"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2. Việc thu hút nguồn nhân lực chất lượng cao và hỗ trợ đào tạo phải tuân thủ, chấp hành đầy đủ chủ trương của Đảng, pháp luật của Nhà nước, đồng thời không để xảy ra tình trạng lợi dụng, trục lợi chính sách.</w:t>
            </w:r>
          </w:p>
          <w:p w14:paraId="63687694"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 xml:space="preserve">3. Việc xác định nhu cầu và đối tượng được hưởng chính sách thu hút, hỗ trợ đào tạo phải căn cứ vào chức năng, nhiệm vụ, vị trí việc làm và nhu cầu thực tiễn của từng cơ quan, đơn vị. Người đứng đầu cơ quan, đơn vị có trách nhiệm đánh giá </w:t>
            </w:r>
            <w:r w:rsidRPr="00CD4F27">
              <w:rPr>
                <w:rFonts w:ascii="Times New Roman" w:hAnsi="Times New Roman" w:cs="Times New Roman"/>
                <w:color w:val="000000" w:themeColor="text1"/>
                <w:sz w:val="28"/>
                <w:szCs w:val="28"/>
                <w:lang w:val="vi-VN"/>
              </w:rPr>
              <w:lastRenderedPageBreak/>
              <w:t>nhu cầu, bố trí, phân công nhiệm vụ và kiểm tra, giám sát quá trình thực hiện chính sách đối với nhân lực được thu hút, hỗ trợ đào tạo.</w:t>
            </w:r>
          </w:p>
          <w:p w14:paraId="3999EAC7"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4. Căn cứ vào tính chất công việc và nhu cầu thực tế, các cơ quan, đơn vị có thể áp dụng các hình thức tuyển dụng, tiếp nhận vào làm công chức, viên chức; hợp đồng lao động xác định thời hạn để thu hút và sử dụng nhân lực.</w:t>
            </w:r>
          </w:p>
          <w:p w14:paraId="60D0940E"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pacing w:val="-2"/>
                <w:sz w:val="28"/>
                <w:szCs w:val="28"/>
                <w:lang w:val="vi-VN"/>
              </w:rPr>
            </w:pPr>
            <w:r w:rsidRPr="00CD4F27">
              <w:rPr>
                <w:rFonts w:ascii="Times New Roman" w:hAnsi="Times New Roman" w:cs="Times New Roman"/>
                <w:color w:val="000000" w:themeColor="text1"/>
                <w:spacing w:val="-2"/>
                <w:sz w:val="28"/>
                <w:szCs w:val="28"/>
                <w:lang w:val="vi-VN"/>
              </w:rPr>
              <w:t>5. Trường hợp cá nhân thuộc diện được hưởng nhiều chính sách hỗ trợ tương tự của tỉnh thì chỉ được hưởng theo một chính sách có mức hỗ trợ do cá nhân lựa chọn. Người được thu hút chỉ được hưởng một mức hỗ trợ ban đầu theo chính sách hỗ trợ, ưu đãi cao nhất phù hợp với học hàm, học vị và điều kiện thu hút.</w:t>
            </w:r>
          </w:p>
          <w:p w14:paraId="3CCCCD08"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 xml:space="preserve">6. Người được hưởng chính sách thu hút thì không thuộc đối tượng hưởng chính sách hỗ trợ đào tạo tại Nghị quyết này. Người đã được hưởng chính sách hỗ trợ đào tạo của tỉnh (các chính sách trước đây và chính sách theo Nghị quyết này) khi tiếp tục được cấp có thẩm quyền cử đi đào tạo ở trình độ tương đương hoặc cao hơn thì không </w:t>
            </w:r>
            <w:r w:rsidRPr="00CD4F27">
              <w:rPr>
                <w:rFonts w:ascii="Times New Roman" w:hAnsi="Times New Roman" w:cs="Times New Roman"/>
                <w:color w:val="000000" w:themeColor="text1"/>
                <w:sz w:val="28"/>
                <w:szCs w:val="28"/>
                <w:lang w:val="vi-VN"/>
              </w:rPr>
              <w:lastRenderedPageBreak/>
              <w:t>thuộc đối tượng hưởng chính sách hỗ trợ đào tạo tại Nghị quyết này.</w:t>
            </w:r>
          </w:p>
          <w:p w14:paraId="17E26D9F"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pacing w:val="-2"/>
                <w:sz w:val="28"/>
                <w:szCs w:val="28"/>
                <w:lang w:val="vi-VN"/>
              </w:rPr>
            </w:pPr>
            <w:r w:rsidRPr="00CD4F27">
              <w:rPr>
                <w:rFonts w:ascii="Times New Roman" w:hAnsi="Times New Roman" w:cs="Times New Roman"/>
                <w:color w:val="000000" w:themeColor="text1"/>
                <w:spacing w:val="-2"/>
                <w:sz w:val="28"/>
                <w:szCs w:val="28"/>
                <w:lang w:val="vi-VN"/>
              </w:rPr>
              <w:t>7. Người đã được hưởng chính sách hỗ trợ đào tạo từ đề án của các bộ, ngành trung ương; học bổng từ nguồn tài trợ của Chính phủ nước ngoài, các tổ chức quốc tế thì không được hưởng chính sách hỗ trợ đào tạo theo Nghị quyết này.</w:t>
            </w:r>
          </w:p>
          <w:p w14:paraId="5B9BAA4D" w14:textId="64942BB3" w:rsidR="00025AD7"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8. Trường hợp cá nhân vi phạm cam kết hoặc không thực hiện đúng nghĩa vụ, phải có trách nhiệm hoàn trả toàn bộ hoặc một phần kinh phí đã nhận theo quy định của pháp luật và Nghị quyết này. Trường hợp cá nhân được hưởng các chính sách tại Nghị quyết này bị chết, tai nạn, bệnh hiểm nghèo, mất khả năng lao động và các trường hợp bất khả kháng khác (được cơ quan có thẩm quyền xác nhận hoặc chấp thuận) thì không phải chịu trách nhiệm hoàn trả kinh phí hỗ trợ đã nhận.</w:t>
            </w:r>
          </w:p>
        </w:tc>
        <w:tc>
          <w:tcPr>
            <w:tcW w:w="5386" w:type="dxa"/>
            <w:tcMar>
              <w:top w:w="100" w:type="dxa"/>
              <w:left w:w="100" w:type="dxa"/>
              <w:bottom w:w="100" w:type="dxa"/>
              <w:right w:w="100" w:type="dxa"/>
            </w:tcMar>
          </w:tcPr>
          <w:p w14:paraId="00B2F5AE" w14:textId="5F3F8E63"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lastRenderedPageBreak/>
              <w:t>Điều 3 Nghị quyết quy định cụ thể các nguyên tắc chính sách thu hút, hỗ trợ đào tạo phát triển nguồn nhân lực chất lượng cao của tỉnh Đắk Lắk nhằm đảm bảo toàn bộ quá trình thu hút, đào tạo từ tuyển chọn, bố trí đến hưởng đãi ngộ được thực hiện một cách nghiêm túc, công bằng và có khung pháp lý nền tảng. Với mục tiêu cao nhất là thu hút, đào tạo đúng người, bố trí đúng việc và sử dụng hiệu quả nguồn nhân lực chất lượng cao, xác định rõ ràng quyền lợi và nghĩa vụ của người được thu hút, đào tạo phòng ngừa các hành vi trục lợi, lợi dụng chính sách, đảm bảo kinh phí và nguồn lực của tỉnh được sử dụng đúng mục đích, hiệu quả.</w:t>
            </w:r>
          </w:p>
        </w:tc>
      </w:tr>
      <w:tr w:rsidR="00025AD7" w:rsidRPr="007F39DA" w14:paraId="0D27DF3F" w14:textId="77777777" w:rsidTr="000B3164">
        <w:trPr>
          <w:trHeight w:val="20"/>
        </w:trPr>
        <w:tc>
          <w:tcPr>
            <w:tcW w:w="3692" w:type="dxa"/>
            <w:tcMar>
              <w:top w:w="100" w:type="dxa"/>
              <w:left w:w="100" w:type="dxa"/>
              <w:bottom w:w="100" w:type="dxa"/>
              <w:right w:w="100" w:type="dxa"/>
            </w:tcMar>
          </w:tcPr>
          <w:p w14:paraId="4F04A729" w14:textId="77777777"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lastRenderedPageBreak/>
              <w:t>- Khoản 2 Kết luận số 205-KL/TW ngày 07/11/2025 của Ban Chấp hành Trung ương;</w:t>
            </w:r>
          </w:p>
          <w:p w14:paraId="0563411B" w14:textId="28F78A9D"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Điều 4 Luật Cán bộ, công chức số 80/2025/QH15;</w:t>
            </w:r>
          </w:p>
          <w:p w14:paraId="71074E2A" w14:textId="47E167B3"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lastRenderedPageBreak/>
              <w:t>- Điều 3 Nghị định 179/2024/NĐ-CP ngày 31/12/2024 của Chính phủ;</w:t>
            </w:r>
          </w:p>
          <w:p w14:paraId="53C07E9C" w14:textId="2EFC51B0"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Nghị quyết Đại hội Đảng bộ tỉnh lần thứ I, nhiệm kỳ 2025 – 2030.</w:t>
            </w:r>
          </w:p>
          <w:p w14:paraId="7176A6D1" w14:textId="76E333F9"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p>
        </w:tc>
        <w:tc>
          <w:tcPr>
            <w:tcW w:w="5812" w:type="dxa"/>
          </w:tcPr>
          <w:p w14:paraId="665D50AB" w14:textId="77777777" w:rsidR="00131289" w:rsidRPr="00CD4F27" w:rsidRDefault="00131289" w:rsidP="0010000B">
            <w:pPr>
              <w:spacing w:before="80" w:after="80" w:line="240" w:lineRule="auto"/>
              <w:ind w:firstLine="331"/>
              <w:jc w:val="both"/>
              <w:rPr>
                <w:rFonts w:ascii="Times New Roman" w:hAnsi="Times New Roman" w:cs="Times New Roman"/>
                <w:b/>
                <w:bCs/>
                <w:color w:val="000000" w:themeColor="text1"/>
                <w:sz w:val="28"/>
                <w:szCs w:val="28"/>
                <w:lang w:val="vi-VN"/>
              </w:rPr>
            </w:pPr>
            <w:r w:rsidRPr="00CD4F27">
              <w:rPr>
                <w:rFonts w:ascii="Times New Roman" w:hAnsi="Times New Roman" w:cs="Times New Roman"/>
                <w:b/>
                <w:bCs/>
                <w:color w:val="000000" w:themeColor="text1"/>
                <w:sz w:val="28"/>
                <w:szCs w:val="28"/>
                <w:lang w:val="vi-VN"/>
              </w:rPr>
              <w:lastRenderedPageBreak/>
              <w:t>Điều</w:t>
            </w:r>
            <w:bookmarkStart w:id="4" w:name="_Hlk208674123"/>
            <w:r w:rsidRPr="00CD4F27">
              <w:rPr>
                <w:rFonts w:ascii="Times New Roman" w:hAnsi="Times New Roman" w:cs="Times New Roman"/>
                <w:b/>
                <w:bCs/>
                <w:color w:val="000000" w:themeColor="text1"/>
                <w:sz w:val="28"/>
                <w:szCs w:val="28"/>
                <w:lang w:val="vi-VN"/>
              </w:rPr>
              <w:t xml:space="preserve"> 4. Các ngành, </w:t>
            </w:r>
            <w:bookmarkStart w:id="5" w:name="_Hlk208781126"/>
            <w:r w:rsidRPr="00CD4F27">
              <w:rPr>
                <w:rFonts w:ascii="Times New Roman" w:hAnsi="Times New Roman" w:cs="Times New Roman"/>
                <w:b/>
                <w:bCs/>
                <w:color w:val="000000" w:themeColor="text1"/>
                <w:sz w:val="28"/>
                <w:szCs w:val="28"/>
                <w:lang w:val="vi-VN"/>
              </w:rPr>
              <w:t>lĩnh vực trọng tâm, ưu tiên</w:t>
            </w:r>
            <w:bookmarkEnd w:id="5"/>
            <w:r w:rsidRPr="00CD4F27">
              <w:rPr>
                <w:rFonts w:ascii="Times New Roman" w:hAnsi="Times New Roman" w:cs="Times New Roman"/>
                <w:b/>
                <w:bCs/>
                <w:color w:val="000000" w:themeColor="text1"/>
                <w:sz w:val="28"/>
                <w:szCs w:val="28"/>
                <w:lang w:val="vi-VN"/>
              </w:rPr>
              <w:t xml:space="preserve"> thu hút</w:t>
            </w:r>
            <w:bookmarkEnd w:id="4"/>
          </w:p>
          <w:p w14:paraId="24EC8B89"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1. Nông nghiệp, công nghiệp công nghệ cao.</w:t>
            </w:r>
          </w:p>
          <w:p w14:paraId="21B1D153"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2. Công nghệ thông tin, công nghệ số, điện tử, viễn thông, trí tuệ nhân tạo.</w:t>
            </w:r>
          </w:p>
          <w:p w14:paraId="3DB82CBA"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lastRenderedPageBreak/>
              <w:t>3. Vật lý kỹ thuật.</w:t>
            </w:r>
          </w:p>
          <w:p w14:paraId="5D98B1A9"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4. Phát triển hạ tầng đô thị.</w:t>
            </w:r>
          </w:p>
          <w:p w14:paraId="45E49548"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5. Các lĩnh vực khoa học, công nghệ, đổi mới sáng tạo và chuyển đổi số để triển khai thực hiện Nghị quyết số 57-NQ/TW về đột phá phát triển khoa học, công nghệ, đổi mới sáng tạo và chuyển đổi số quốc gia.</w:t>
            </w:r>
          </w:p>
          <w:p w14:paraId="42CA7ED8" w14:textId="0A7B5059" w:rsidR="00025AD7"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6. Các lĩnh vực khác phù hợp với tình hình thực tiễn kinh tế - xã hội và định hướng phát triển các ngành, lĩnh vực chiến lược, trọng tâm do các cơ quan, đơn vị chịu trách nhiệm tham mưu, đề xuất cấp có thẩm quyền đưa vào danh mục các lĩnh vực, chương trình, dự án, đề tài mà tỉnh Đắk Lắk đang có nhu cầu.</w:t>
            </w:r>
          </w:p>
        </w:tc>
        <w:tc>
          <w:tcPr>
            <w:tcW w:w="5386" w:type="dxa"/>
            <w:tcMar>
              <w:top w:w="100" w:type="dxa"/>
              <w:left w:w="100" w:type="dxa"/>
              <w:bottom w:w="100" w:type="dxa"/>
              <w:right w:w="100" w:type="dxa"/>
            </w:tcMar>
          </w:tcPr>
          <w:p w14:paraId="6B6EC210" w14:textId="7DE12EBA"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lastRenderedPageBreak/>
              <w:t xml:space="preserve">Căn cứ các nội dung tại Nghị quyết số 57-NQ/TW ngày 22/12/2024 của Bộ Chính trị về đột phá phát triển khoa học, công nghệ, đổi mới sáng tạo và chuyển đổi số quốc gia, quy định tại Luật Cán bộ, công chức, Luật Khoa </w:t>
            </w:r>
            <w:r w:rsidRPr="00CD4F27">
              <w:rPr>
                <w:rFonts w:ascii="Times New Roman" w:eastAsia="Times New Roman" w:hAnsi="Times New Roman" w:cs="Times New Roman"/>
                <w:color w:val="000000" w:themeColor="text1"/>
                <w:sz w:val="28"/>
                <w:szCs w:val="28"/>
                <w:lang w:val="vi-VN"/>
              </w:rPr>
              <w:lastRenderedPageBreak/>
              <w:t>học, công nghệ và đổi mới sáng tạo, Nghị định số 179/2024/NĐ-CP ngày 31/12/2024 của Chính phủ và quan điểm phát triển của tỉnh được nêu tại Nghị quyết Đại hội Đảng bộ tỉnh lần thứ I, nhiệm kỳ 2025 – 2030.</w:t>
            </w:r>
          </w:p>
          <w:p w14:paraId="1317CAAA" w14:textId="54B68226"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pacing w:val="-2"/>
                <w:sz w:val="28"/>
                <w:szCs w:val="28"/>
                <w:lang w:val="vi-VN"/>
              </w:rPr>
            </w:pPr>
            <w:r w:rsidRPr="00CD4F27">
              <w:rPr>
                <w:rFonts w:ascii="Times New Roman" w:eastAsia="Times New Roman" w:hAnsi="Times New Roman" w:cs="Times New Roman"/>
                <w:color w:val="000000" w:themeColor="text1"/>
                <w:spacing w:val="-2"/>
                <w:sz w:val="28"/>
                <w:szCs w:val="28"/>
                <w:lang w:val="vi-VN"/>
              </w:rPr>
              <w:t>Điều 4 Nghị quyết quy định cụ thể các ngành, lĩnh vực trọng tâm, ưu tiên thu hút nhằm tập trung nguồn lực thu hút vào những lĩnh vực đột phá và thiết yếu nhất, đảm bảo nhân lực thu hút trực tiếp phục vụ cho các mục tiêu phát triển chiến lược của tỉnh. Đồng thời, nhằm đảm bảo tuân thủ theo định hướng phát triển khoa học, công nghệ, đổi mới sáng tạo và chuyển đổi số Quốc gia. Tại Khoản 4 quy định việc xác định các lĩnh vực khoa học, công nghệ, đổi mới sáng tạo và chuyển đổi số cần thu hút nhằm thực hiện Nghị quyết số 57-NQ/TW ngày 22</w:t>
            </w:r>
            <w:r w:rsidR="0046485A" w:rsidRPr="00CD4F27">
              <w:rPr>
                <w:rFonts w:ascii="Times New Roman" w:eastAsia="Times New Roman" w:hAnsi="Times New Roman" w:cs="Times New Roman"/>
                <w:color w:val="000000" w:themeColor="text1"/>
                <w:spacing w:val="-2"/>
                <w:sz w:val="28"/>
                <w:szCs w:val="28"/>
                <w:lang w:val="vi-VN"/>
              </w:rPr>
              <w:t>/</w:t>
            </w:r>
            <w:r w:rsidRPr="00CD4F27">
              <w:rPr>
                <w:rFonts w:ascii="Times New Roman" w:eastAsia="Times New Roman" w:hAnsi="Times New Roman" w:cs="Times New Roman"/>
                <w:color w:val="000000" w:themeColor="text1"/>
                <w:spacing w:val="-2"/>
                <w:sz w:val="28"/>
                <w:szCs w:val="28"/>
                <w:lang w:val="vi-VN"/>
              </w:rPr>
              <w:t>12</w:t>
            </w:r>
            <w:r w:rsidR="0046485A" w:rsidRPr="00CD4F27">
              <w:rPr>
                <w:rFonts w:ascii="Times New Roman" w:eastAsia="Times New Roman" w:hAnsi="Times New Roman" w:cs="Times New Roman"/>
                <w:color w:val="000000" w:themeColor="text1"/>
                <w:spacing w:val="-2"/>
                <w:sz w:val="28"/>
                <w:szCs w:val="28"/>
                <w:lang w:val="vi-VN"/>
              </w:rPr>
              <w:t>/</w:t>
            </w:r>
            <w:r w:rsidRPr="00CD4F27">
              <w:rPr>
                <w:rFonts w:ascii="Times New Roman" w:eastAsia="Times New Roman" w:hAnsi="Times New Roman" w:cs="Times New Roman"/>
                <w:color w:val="000000" w:themeColor="text1"/>
                <w:spacing w:val="-2"/>
                <w:sz w:val="28"/>
                <w:szCs w:val="28"/>
                <w:lang w:val="vi-VN"/>
              </w:rPr>
              <w:t>2024 của Bộ Chính trị.</w:t>
            </w:r>
          </w:p>
          <w:p w14:paraId="1544D83A" w14:textId="37FE0A72"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xml:space="preserve">Ngoài ra, quy định các lĩnh vực khác tạo sự linh hoạt trong trường hợp theo định hướng của các cấp, các ngành có sự thay đổi theo từng giai đoạn để phù hợp với tình hình thực tiễn kinh tế - xã hội và định hướng phát triển các ngành, lĩnh vực chiến lược, trọng tâm do các </w:t>
            </w:r>
            <w:r w:rsidRPr="00CD4F27">
              <w:rPr>
                <w:rFonts w:ascii="Times New Roman" w:eastAsia="Times New Roman" w:hAnsi="Times New Roman" w:cs="Times New Roman"/>
                <w:color w:val="000000" w:themeColor="text1"/>
                <w:sz w:val="28"/>
                <w:szCs w:val="28"/>
                <w:lang w:val="vi-VN"/>
              </w:rPr>
              <w:lastRenderedPageBreak/>
              <w:t>cơ quan, đơn vị chịu trách nhiệm tham mưu, đề xuất cấp có thẩm quyền đưa vào danh mục các lĩnh vực, chương trình, dự án, đề tài mà tỉnh Đắk Lắk đang có nhu cầu thực hiện thu hút nguồn nhân lực chất lượng cao mà không cần sửa đổi Nghị quyết.</w:t>
            </w:r>
          </w:p>
        </w:tc>
      </w:tr>
      <w:tr w:rsidR="00025AD7" w:rsidRPr="007F39DA" w14:paraId="7B78CA32" w14:textId="77777777" w:rsidTr="000B3164">
        <w:trPr>
          <w:trHeight w:val="20"/>
        </w:trPr>
        <w:tc>
          <w:tcPr>
            <w:tcW w:w="3692" w:type="dxa"/>
            <w:tcMar>
              <w:top w:w="100" w:type="dxa"/>
              <w:left w:w="100" w:type="dxa"/>
              <w:bottom w:w="100" w:type="dxa"/>
              <w:right w:w="100" w:type="dxa"/>
            </w:tcMar>
          </w:tcPr>
          <w:p w14:paraId="66D16605" w14:textId="4A9CE5A4"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lastRenderedPageBreak/>
              <w:t>- Khoản 4 Kết luận số 205-KL/TW ngày 07/11/2025 của Ban Chấp hành Trung ương;</w:t>
            </w:r>
          </w:p>
          <w:p w14:paraId="288BA100" w14:textId="51D4F3D3"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Khoản 2 Điều 35 Bộ luật Lao động số 45/2019/QH14;</w:t>
            </w:r>
          </w:p>
          <w:p w14:paraId="0FAC4F6D" w14:textId="3DF2A1C4"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Điều 3, Điều 6 Nghị định 179/2024/NĐ-CP ngày 31/12/2024 của Chính phủ;</w:t>
            </w:r>
          </w:p>
          <w:p w14:paraId="69716082" w14:textId="1BF06A27"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Điều 6 Nghị định số 171/2025/NĐ-CP ngày 30/6/2025 của Chính phủ;</w:t>
            </w:r>
          </w:p>
          <w:p w14:paraId="4DB9FA47" w14:textId="35005B36"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Điều 7 Nghị định số 101/2017/NĐ-CP ngày 01/9/2017 của Chính phủ.</w:t>
            </w:r>
          </w:p>
        </w:tc>
        <w:tc>
          <w:tcPr>
            <w:tcW w:w="5812" w:type="dxa"/>
          </w:tcPr>
          <w:p w14:paraId="1208CA29" w14:textId="77777777" w:rsidR="00131289" w:rsidRPr="00CD4F27" w:rsidRDefault="00131289" w:rsidP="0010000B">
            <w:pPr>
              <w:spacing w:before="80" w:after="80" w:line="240" w:lineRule="auto"/>
              <w:ind w:firstLine="331"/>
              <w:jc w:val="both"/>
              <w:rPr>
                <w:rFonts w:ascii="Times New Roman Bold" w:hAnsi="Times New Roman Bold" w:cs="Times New Roman"/>
                <w:b/>
                <w:bCs/>
                <w:color w:val="000000" w:themeColor="text1"/>
                <w:spacing w:val="-10"/>
                <w:sz w:val="28"/>
                <w:szCs w:val="28"/>
                <w:lang w:val="vi-VN"/>
              </w:rPr>
            </w:pPr>
            <w:r w:rsidRPr="00CD4F27">
              <w:rPr>
                <w:rFonts w:ascii="Times New Roman Bold" w:hAnsi="Times New Roman Bold" w:cs="Times New Roman"/>
                <w:b/>
                <w:bCs/>
                <w:color w:val="000000" w:themeColor="text1"/>
                <w:spacing w:val="-10"/>
                <w:sz w:val="28"/>
                <w:szCs w:val="28"/>
                <w:lang w:val="vi-VN"/>
              </w:rPr>
              <w:t>Điều 5. Hoàn trả kinh phí hỗ trợ thu hút, đào tạo</w:t>
            </w:r>
          </w:p>
          <w:p w14:paraId="7640483B"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1. Người được thu hút thông qua hình thức tuyển dụng, tiếp nhận vào làm công chức, viên chức hoặc hình thức hợp đồng lao động xác định thời hạn phải hoàn trả 100% mức hỗ trợ ban đầu và thu nhập theo lợi nhuận hoặc giá trị công trình nêu tại khoản 1, khoản 2 Điều 7 và khoản 1 Điều 8 Nghị quyết này; người được hưởng chính sách hỗ trợ đào tạo phải hoàn trả 100% mức hỗ trợ nêu tại Điều 10 Nghị quyết này, nếu thuộc một trong các trường hợp sau:</w:t>
            </w:r>
          </w:p>
          <w:p w14:paraId="1B1FE843"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a) Không chấp hành chủ trương của Đảng, chính sách, pháp luật của Nhà nước, sự phân công, bố trí công tác của cấp có thẩm quyền và các quy định của cơ quan, đơn vị nơi công tác. Thực hiện không đầy đủ, không đúng nội dung đã cam kết.</w:t>
            </w:r>
          </w:p>
          <w:p w14:paraId="321E0A50"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pacing w:val="-4"/>
                <w:sz w:val="28"/>
                <w:szCs w:val="28"/>
                <w:lang w:val="vi-VN"/>
              </w:rPr>
            </w:pPr>
            <w:r w:rsidRPr="00CD4F27">
              <w:rPr>
                <w:rFonts w:ascii="Times New Roman" w:hAnsi="Times New Roman" w:cs="Times New Roman"/>
                <w:color w:val="000000" w:themeColor="text1"/>
                <w:spacing w:val="-4"/>
                <w:sz w:val="28"/>
                <w:szCs w:val="28"/>
                <w:lang w:val="vi-VN"/>
              </w:rPr>
              <w:lastRenderedPageBreak/>
              <w:t>b) Tự ý bỏ việc.</w:t>
            </w:r>
          </w:p>
          <w:p w14:paraId="457E6CD7"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c) Người được thu hút thông qua hình thức tuyển dụng, tiếp nhận vào làm công chức, viên chức hoặc người được hưởng chính sách hỗ trợ đào tạo xin thôi việc hoặc xin chuyển công tác ra ngoài hệ thống các cơ quan, đơn vị của tỉnh nhưng có thời gian làm việc chưa đủ 1/2 (một phần hai) thời gian đã cam kết; người được thu hút thông qua hình thức hợp đồng lao động xác định thời hạn chưa hoàn thành thời hạn hợp đồng lao động đã ký kết hoặc</w:t>
            </w:r>
            <w:r w:rsidRPr="00CD4F27">
              <w:rPr>
                <w:color w:val="000000" w:themeColor="text1"/>
                <w:lang w:val="vi-VN"/>
              </w:rPr>
              <w:t xml:space="preserve"> </w:t>
            </w:r>
            <w:r w:rsidRPr="00CD4F27">
              <w:rPr>
                <w:rFonts w:ascii="Times New Roman" w:hAnsi="Times New Roman" w:cs="Times New Roman"/>
                <w:color w:val="000000" w:themeColor="text1"/>
                <w:sz w:val="28"/>
                <w:szCs w:val="28"/>
                <w:lang w:val="vi-VN"/>
              </w:rPr>
              <w:t>tham gia các thỏa thuận, giao dịch khác gây ảnh hưởng tiêu cực đến việc thực hiện các nội dung trong hợp đồng đã ký kết.</w:t>
            </w:r>
          </w:p>
          <w:p w14:paraId="1E223C6A"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d) Trong thời gian cam kết làm việc hoặc thời gian làm việc theo hợp đồng lao động đã ký kết bị cấp có thẩm quyền đánh giá không hoàn thành nhiệm vụ.</w:t>
            </w:r>
          </w:p>
          <w:p w14:paraId="22746CDA"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đ) Sử dụng giấy tờ không hợp pháp để được thu hút và hưởng chính sách hỗ trợ của tỉnh.</w:t>
            </w:r>
          </w:p>
          <w:p w14:paraId="67809F77"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e) Bị truy cứu trách nhiệm hình sự hoặc bị cơ quan, đơn vị chủ quản xử lý kỷ luật với hình thức buộc thôi việc hoặc sa thải theo quy định trong thời gian thực hiện nhiệm vụ được giao.</w:t>
            </w:r>
          </w:p>
          <w:p w14:paraId="4C7281E1"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lastRenderedPageBreak/>
              <w:t>2. Người được thu hút thông qua hình thức tuyển dụng, tiếp nhận vào làm công chức, viên chức hoặc hình thức hợp đồng lao động xác định thời hạn phải hoàn trả một phần mức hỗ trợ ban đầu nêu tại khoản 1 Điều 7 và khoản 1 Điều 8 Nghị quyết này theo mức quy định tại khoản 3 Điều này và 100% mức thu nhập theo lợi nhuận hoặc giá trị công trình nêu tại khoản 2 Điều 7 Nghị quyết này; người được hưởng chính sách hỗ trợ đào tạo phải hoàn trả một phần mức hỗ trợ nêu tại Điều 10 Nghị quyết này</w:t>
            </w:r>
            <w:r w:rsidRPr="00CD4F27">
              <w:rPr>
                <w:color w:val="000000" w:themeColor="text1"/>
                <w:lang w:val="vi-VN"/>
              </w:rPr>
              <w:t xml:space="preserve"> </w:t>
            </w:r>
            <w:r w:rsidRPr="00CD4F27">
              <w:rPr>
                <w:rFonts w:ascii="Times New Roman" w:hAnsi="Times New Roman" w:cs="Times New Roman"/>
                <w:color w:val="000000" w:themeColor="text1"/>
                <w:sz w:val="28"/>
                <w:szCs w:val="28"/>
                <w:lang w:val="vi-VN"/>
              </w:rPr>
              <w:t>theo mức quy định tại khoản 3 Điều này nếu thuộc một trong các trường hợp sau (trừ các trường hợp nêu tại khoản 1 Điều này):</w:t>
            </w:r>
          </w:p>
          <w:p w14:paraId="5FED72EC"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a) Người được thu hút thông qua hình thức tuyển dụng, tiếp nhận vào làm công chức, viên chức hoặc người được hưởng chính sách hỗ trợ đào tạo xin thôi việc hoặc xin chuyển công tác ra ngoài hệ thống các cơ quan, đơn vị của tỉnh nhưng có thời gian làm việc từ đủ 1/2 (một phần hai) thời gian đã cam kết trở lên.</w:t>
            </w:r>
          </w:p>
          <w:p w14:paraId="335EADF0"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b) Đơn phương chấm dứt hợp đồng lao động theo quy định tại khoản 2 Điều 35 Bộ luật Lao động số 45/2019/QH14.</w:t>
            </w:r>
          </w:p>
          <w:p w14:paraId="5243A0BC"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lastRenderedPageBreak/>
              <w:t>c) Các trường hợp có lý do chính đáng được cấp có thẩm quyền xem xét và đồng ý.</w:t>
            </w:r>
          </w:p>
          <w:p w14:paraId="077A3041"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 xml:space="preserve">3. </w:t>
            </w:r>
            <w:r w:rsidRPr="00CD4F27">
              <w:rPr>
                <w:rFonts w:ascii="Times New Roman" w:hAnsi="Times New Roman" w:cs="Times New Roman"/>
                <w:color w:val="000000" w:themeColor="text1"/>
                <w:spacing w:val="-2"/>
                <w:sz w:val="28"/>
                <w:szCs w:val="28"/>
                <w:lang w:val="vi-VN"/>
              </w:rPr>
              <w:t>Mức hoàn trả kinh phí hỗ trợ</w:t>
            </w:r>
          </w:p>
          <w:p w14:paraId="7599ECED"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pacing w:val="-4"/>
                <w:sz w:val="28"/>
                <w:szCs w:val="28"/>
                <w:lang w:val="vi-VN"/>
              </w:rPr>
            </w:pPr>
            <w:r w:rsidRPr="00CD4F27">
              <w:rPr>
                <w:rFonts w:ascii="Times New Roman" w:hAnsi="Times New Roman" w:cs="Times New Roman"/>
                <w:color w:val="000000" w:themeColor="text1"/>
                <w:spacing w:val="-4"/>
                <w:sz w:val="28"/>
                <w:szCs w:val="28"/>
                <w:lang w:val="vi-VN"/>
              </w:rPr>
              <w:t xml:space="preserve">Người được thu hút thông qua hình thức tuyển dụng, tiếp nhận vào làm công chức, viên chức hoặc hình thức hợp đồng lao động xác định thời hạn; </w:t>
            </w:r>
            <w:r w:rsidRPr="00CD4F27">
              <w:rPr>
                <w:rFonts w:ascii="Times New Roman" w:hAnsi="Times New Roman" w:cs="Times New Roman"/>
                <w:color w:val="000000" w:themeColor="text1"/>
                <w:sz w:val="28"/>
                <w:szCs w:val="28"/>
                <w:lang w:val="vi-VN"/>
              </w:rPr>
              <w:t xml:space="preserve">người được hưởng chính sách hỗ trợ đào tạo </w:t>
            </w:r>
            <w:r w:rsidRPr="00CD4F27">
              <w:rPr>
                <w:rFonts w:ascii="Times New Roman" w:hAnsi="Times New Roman" w:cs="Times New Roman"/>
                <w:color w:val="000000" w:themeColor="text1"/>
                <w:spacing w:val="-4"/>
                <w:sz w:val="28"/>
                <w:szCs w:val="28"/>
                <w:lang w:val="vi-VN"/>
              </w:rPr>
              <w:t>thuộc các trường hợp quy định tại khoản 2 Điều này có trách nhiệm hoàn trả một phần kinh phí hỗ trợ ban đầu hoặc hỗ trợ đào tạo. Mức hoàn trả kinh phí hỗ trợ được tính theo công thức sau:</w:t>
            </w:r>
          </w:p>
          <w:p w14:paraId="2D232C98"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fr-FR"/>
              </w:rPr>
            </w:pPr>
            <w:r w:rsidRPr="00CD4F27">
              <w:rPr>
                <w:rFonts w:ascii="Times New Roman" w:hAnsi="Times New Roman" w:cs="Times New Roman"/>
                <w:color w:val="000000" w:themeColor="text1"/>
                <w:sz w:val="28"/>
                <w:szCs w:val="28"/>
                <w:lang w:val="fr-FR"/>
              </w:rPr>
              <w:t>S = (F / T1) × (T1 - T2)</w:t>
            </w:r>
          </w:p>
          <w:p w14:paraId="39729DA8"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fr-FR"/>
              </w:rPr>
            </w:pPr>
            <w:r w:rsidRPr="00CD4F27">
              <w:rPr>
                <w:rFonts w:ascii="Times New Roman" w:hAnsi="Times New Roman" w:cs="Times New Roman"/>
                <w:color w:val="000000" w:themeColor="text1"/>
                <w:sz w:val="28"/>
                <w:szCs w:val="28"/>
                <w:lang w:val="fr-FR"/>
              </w:rPr>
              <w:t>Trong đó:</w:t>
            </w:r>
          </w:p>
          <w:p w14:paraId="7D171915"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fr-FR"/>
              </w:rPr>
            </w:pPr>
            <w:r w:rsidRPr="00CD4F27">
              <w:rPr>
                <w:rFonts w:ascii="Times New Roman" w:hAnsi="Times New Roman" w:cs="Times New Roman"/>
                <w:color w:val="000000" w:themeColor="text1"/>
                <w:sz w:val="28"/>
                <w:szCs w:val="28"/>
                <w:lang w:val="fr-FR"/>
              </w:rPr>
              <w:t>S là mức hoàn trả kinh phí hỗ trợ;</w:t>
            </w:r>
          </w:p>
          <w:p w14:paraId="7A2A3FC6"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fr-FR"/>
              </w:rPr>
            </w:pPr>
            <w:r w:rsidRPr="00CD4F27">
              <w:rPr>
                <w:rFonts w:ascii="Times New Roman" w:hAnsi="Times New Roman" w:cs="Times New Roman"/>
                <w:color w:val="000000" w:themeColor="text1"/>
                <w:sz w:val="28"/>
                <w:szCs w:val="28"/>
                <w:lang w:val="fr-FR"/>
              </w:rPr>
              <w:t xml:space="preserve">F là kinh phí hỗ trợ ban đầu được cấp cho người được thu hút nêu tại khoản 1 Điều 7 và khoản 1 Điều 8 Nghị quyết này hoặc kinh phí hỗ trợ đào tạo được cấp cho </w:t>
            </w:r>
            <w:r w:rsidRPr="00CD4F27">
              <w:rPr>
                <w:rFonts w:ascii="Times New Roman" w:hAnsi="Times New Roman" w:cs="Times New Roman"/>
                <w:color w:val="000000" w:themeColor="text1"/>
                <w:sz w:val="28"/>
                <w:szCs w:val="28"/>
                <w:lang w:val="vi-VN"/>
              </w:rPr>
              <w:t>người hưởng chính sách hỗ trợ đào tạo nêu tại Điều 10 Nghị quyết này</w:t>
            </w:r>
            <w:r w:rsidRPr="00CD4F27">
              <w:rPr>
                <w:rFonts w:ascii="Times New Roman" w:hAnsi="Times New Roman" w:cs="Times New Roman"/>
                <w:color w:val="000000" w:themeColor="text1"/>
                <w:sz w:val="28"/>
                <w:szCs w:val="28"/>
                <w:lang w:val="fr-FR"/>
              </w:rPr>
              <w:t>;</w:t>
            </w:r>
          </w:p>
          <w:p w14:paraId="41DD8697"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fr-FR"/>
              </w:rPr>
            </w:pPr>
            <w:r w:rsidRPr="00CD4F27">
              <w:rPr>
                <w:rFonts w:ascii="Times New Roman" w:hAnsi="Times New Roman" w:cs="Times New Roman"/>
                <w:color w:val="000000" w:themeColor="text1"/>
                <w:sz w:val="28"/>
                <w:szCs w:val="28"/>
                <w:lang w:val="fr-FR"/>
              </w:rPr>
              <w:t>T1 là số tháng làm việc đã cam kết theo quy định tại khoản 5 Điều 6 Nghị quyết này hoặc số tháng làm việc theo</w:t>
            </w:r>
            <w:r w:rsidRPr="00CD4F27">
              <w:rPr>
                <w:color w:val="000000" w:themeColor="text1"/>
                <w:lang w:val="fr-FR"/>
              </w:rPr>
              <w:t xml:space="preserve"> </w:t>
            </w:r>
            <w:r w:rsidRPr="00CD4F27">
              <w:rPr>
                <w:rFonts w:ascii="Times New Roman" w:hAnsi="Times New Roman" w:cs="Times New Roman"/>
                <w:color w:val="000000" w:themeColor="text1"/>
                <w:sz w:val="28"/>
                <w:szCs w:val="28"/>
                <w:lang w:val="fr-FR"/>
              </w:rPr>
              <w:t xml:space="preserve">thời hạn hợp đồng lao động đã </w:t>
            </w:r>
            <w:r w:rsidRPr="00CD4F27">
              <w:rPr>
                <w:rFonts w:ascii="Times New Roman" w:hAnsi="Times New Roman" w:cs="Times New Roman"/>
                <w:color w:val="000000" w:themeColor="text1"/>
                <w:sz w:val="28"/>
                <w:szCs w:val="28"/>
                <w:lang w:val="fr-FR"/>
              </w:rPr>
              <w:lastRenderedPageBreak/>
              <w:t>ký kết hoặc số tháng làm việc đã cam kết theo quy định tại khoản 4 Điều 9 Nghị quyết;</w:t>
            </w:r>
          </w:p>
          <w:p w14:paraId="6A812BD7"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fr-FR"/>
              </w:rPr>
            </w:pPr>
            <w:r w:rsidRPr="00CD4F27">
              <w:rPr>
                <w:rFonts w:ascii="Times New Roman" w:hAnsi="Times New Roman" w:cs="Times New Roman"/>
                <w:color w:val="000000" w:themeColor="text1"/>
                <w:sz w:val="28"/>
                <w:szCs w:val="28"/>
                <w:lang w:val="fr-FR"/>
              </w:rPr>
              <w:t>T2 là số tháng đã làm việc thực tế tại các cơ quan, đơn vị của tỉnh theo sự phân công của cấp có thẩm quyền sau khi được thu hút hoặc đào tạo (được tính tròn tháng nếu số ngày làm việc trong tháng từ 15 ngày trở lên).</w:t>
            </w:r>
          </w:p>
          <w:p w14:paraId="2409A0AA" w14:textId="787BC0E7" w:rsidR="00025AD7" w:rsidRPr="00CD4F27" w:rsidRDefault="00131289"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fr-FR"/>
              </w:rPr>
            </w:pPr>
            <w:r w:rsidRPr="00CD4F27">
              <w:rPr>
                <w:rFonts w:ascii="Times New Roman" w:hAnsi="Times New Roman" w:cs="Times New Roman"/>
                <w:color w:val="000000" w:themeColor="text1"/>
                <w:sz w:val="28"/>
                <w:szCs w:val="28"/>
                <w:lang w:val="fr-FR"/>
              </w:rPr>
              <w:t>4. Thời gian hoàn trả</w:t>
            </w:r>
            <w:r w:rsidRPr="00CD4F27">
              <w:rPr>
                <w:color w:val="000000" w:themeColor="text1"/>
                <w:lang w:val="fr-FR"/>
              </w:rPr>
              <w:t xml:space="preserve"> </w:t>
            </w:r>
            <w:r w:rsidRPr="00CD4F27">
              <w:rPr>
                <w:rFonts w:ascii="Times New Roman" w:hAnsi="Times New Roman" w:cs="Times New Roman"/>
                <w:color w:val="000000" w:themeColor="text1"/>
                <w:sz w:val="28"/>
                <w:szCs w:val="28"/>
                <w:lang w:val="fr-FR"/>
              </w:rPr>
              <w:t>kinh phí hỗ trợ ban đầu, thu nhập theo lợi nhuận hoặc giá trị công trình, hỗ trợ đào tạo chậm nhất là 120 ngày, kể từ ngày nhận được quyết định yêu cầu hoàn trả kinh phí của cấp có thẩm quyền. Nếu hoàn trả không đầy đủ theo quy định thì bị xem xét xử lý theo quy định của pháp luật.</w:t>
            </w:r>
          </w:p>
        </w:tc>
        <w:tc>
          <w:tcPr>
            <w:tcW w:w="5386" w:type="dxa"/>
            <w:tcMar>
              <w:top w:w="100" w:type="dxa"/>
              <w:left w:w="100" w:type="dxa"/>
              <w:bottom w:w="100" w:type="dxa"/>
              <w:right w:w="100" w:type="dxa"/>
            </w:tcMar>
          </w:tcPr>
          <w:p w14:paraId="4B90577A" w14:textId="58D54410"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fr-FR"/>
              </w:rPr>
            </w:pPr>
            <w:r w:rsidRPr="00CD4F27">
              <w:rPr>
                <w:rFonts w:ascii="Times New Roman" w:eastAsia="Times New Roman" w:hAnsi="Times New Roman" w:cs="Times New Roman"/>
                <w:color w:val="000000" w:themeColor="text1"/>
                <w:sz w:val="28"/>
                <w:szCs w:val="28"/>
                <w:lang w:val="fr-FR"/>
              </w:rPr>
              <w:lastRenderedPageBreak/>
              <w:t>Điều 5 Nghị quyết quy định Hoàn trả kinh phí hỗ trợ, nhằm thiết lập tính nghiêm minh trong thực hiện các chính sách thu hút, hỗ trợ đào tạo của Nghị quyết, cụ thể hóa các hậu quả pháp lý và xác định cơ chế thu hồi kinh phí, đảm bảo kinh phí hỗ trợ ban đầu và thu nhập theo lợi nhuận hoặc giá trị công trình, hỗ trợ đào tạo được hoàn trả về ngân sách nếu người được thu hút, hỗ trợ đào tạo thuộc một trong các trường hợp vi phạm. Điều 5 quy định rõ các trường hợp phải hoàn trả, mức hoàn trả và thời gian thực hiện hoàn trả để áp dụng linh hoạt, phù hợp kết quả thực hiện nhiệm vụ và thời gian làm việc thực tế của người được thu hút, đào tạo.</w:t>
            </w:r>
          </w:p>
        </w:tc>
      </w:tr>
      <w:tr w:rsidR="00025AD7" w:rsidRPr="007F39DA" w14:paraId="675EE163" w14:textId="77777777" w:rsidTr="000B3164">
        <w:trPr>
          <w:trHeight w:val="20"/>
        </w:trPr>
        <w:tc>
          <w:tcPr>
            <w:tcW w:w="3692" w:type="dxa"/>
            <w:tcMar>
              <w:top w:w="100" w:type="dxa"/>
              <w:left w:w="100" w:type="dxa"/>
              <w:bottom w:w="100" w:type="dxa"/>
              <w:right w:w="100" w:type="dxa"/>
            </w:tcMar>
          </w:tcPr>
          <w:p w14:paraId="0022B067" w14:textId="77777777"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lastRenderedPageBreak/>
              <w:t>- Khoản 2 Kết luận số 205-KL/TW ngày 07/11/2025 của Ban Chấp hành Trung ương;</w:t>
            </w:r>
          </w:p>
          <w:p w14:paraId="0D5E5C82" w14:textId="41F63CE8"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hAnsi="Times New Roman" w:cs="Times New Roman"/>
                <w:color w:val="000000" w:themeColor="text1"/>
                <w:spacing w:val="-4"/>
                <w:sz w:val="28"/>
                <w:szCs w:val="28"/>
                <w:lang w:val="vi-VN"/>
              </w:rPr>
              <w:t>- khoản 1 Điều 54 Luật Khoa học, công nghệ và đổi mới, sáng tạo số 93/2025/QH15;</w:t>
            </w:r>
          </w:p>
          <w:p w14:paraId="24949235" w14:textId="63AFA463"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xml:space="preserve">- Điều 4 và Điều 21 Nghị định 179/2024/NĐ-CP ngày </w:t>
            </w:r>
            <w:r w:rsidRPr="00CD4F27">
              <w:rPr>
                <w:rFonts w:ascii="Times New Roman" w:eastAsia="Times New Roman" w:hAnsi="Times New Roman" w:cs="Times New Roman"/>
                <w:color w:val="000000" w:themeColor="text1"/>
                <w:sz w:val="28"/>
                <w:szCs w:val="28"/>
                <w:lang w:val="vi-VN"/>
              </w:rPr>
              <w:lastRenderedPageBreak/>
              <w:t>31/12/2024 của Chính phủ;</w:t>
            </w:r>
          </w:p>
          <w:p w14:paraId="1B46E425" w14:textId="090B50EF"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Điều 39 và Điều 40 Nghị định số 263/2025/NĐ-CP ngày 14/10/2025 của Chính phủ;</w:t>
            </w:r>
          </w:p>
          <w:p w14:paraId="14F49E61" w14:textId="2C726A8B"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xml:space="preserve">- </w:t>
            </w:r>
            <w:r w:rsidRPr="00CD4F27">
              <w:rPr>
                <w:rFonts w:ascii="Times New Roman" w:hAnsi="Times New Roman" w:cs="Times New Roman"/>
                <w:color w:val="000000" w:themeColor="text1"/>
                <w:spacing w:val="-4"/>
                <w:sz w:val="28"/>
                <w:szCs w:val="28"/>
                <w:lang w:val="vi-VN"/>
              </w:rPr>
              <w:t>Điều 3 Nghị định số 249/2025/NĐ-CP ngày 19/9/2025 của Chính phủ.</w:t>
            </w:r>
          </w:p>
        </w:tc>
        <w:tc>
          <w:tcPr>
            <w:tcW w:w="5812" w:type="dxa"/>
          </w:tcPr>
          <w:p w14:paraId="6B175C03" w14:textId="77777777" w:rsidR="00131289" w:rsidRPr="00CD4F27" w:rsidRDefault="00131289" w:rsidP="0010000B">
            <w:pPr>
              <w:spacing w:before="80" w:after="80" w:line="240" w:lineRule="auto"/>
              <w:ind w:firstLine="331"/>
              <w:jc w:val="both"/>
              <w:rPr>
                <w:rFonts w:ascii="Times New Roman" w:hAnsi="Times New Roman" w:cs="Times New Roman"/>
                <w:b/>
                <w:bCs/>
                <w:color w:val="000000" w:themeColor="text1"/>
                <w:sz w:val="28"/>
                <w:szCs w:val="28"/>
                <w:lang w:val="vi-VN"/>
              </w:rPr>
            </w:pPr>
            <w:r w:rsidRPr="00CD4F27">
              <w:rPr>
                <w:rFonts w:ascii="Times New Roman" w:hAnsi="Times New Roman" w:cs="Times New Roman"/>
                <w:b/>
                <w:bCs/>
                <w:color w:val="000000" w:themeColor="text1"/>
                <w:sz w:val="28"/>
                <w:szCs w:val="28"/>
                <w:lang w:val="vi-VN"/>
              </w:rPr>
              <w:lastRenderedPageBreak/>
              <w:t>Điều 6. Tiêu chuẩn, điều kiện áp dụng chính sách thu hút</w:t>
            </w:r>
          </w:p>
          <w:p w14:paraId="7A31C3F1"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Các đối tượng quy định tại khoản 1 Điều 2 Nghị quyết này, ngoài việc đáp ứng các tiêu chuẩn, điều kiện theo quy định pháp luật có liên quan còn phải đảm bảo các tiêu chuẩn, điều kiện sau:</w:t>
            </w:r>
          </w:p>
          <w:p w14:paraId="6236F833"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lastRenderedPageBreak/>
              <w:t>1. Không thuộc đối tượng là cán bộ, công chức, viên chức đang làm việc tại các cơ quan, đơn vị của tỉnh.</w:t>
            </w:r>
          </w:p>
          <w:p w14:paraId="71DC9BE9"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2. Không thuộc đối tượng đang bị truy cứu trách nhiệm hình sự; đang chấp hành hoặc đã chấp hành xong bản án, quyết định về hình sự của Tòa án mà chưa được xóa án tích; đang bị áp dụng biện pháp xử lý hành chính.</w:t>
            </w:r>
          </w:p>
          <w:p w14:paraId="37561C40"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3. Trường hợp cá nhân có văn bằng tốt nghiệp được đào tạo tại các cơ sở đào tạo ở nước ngoài phải được Bộ Giáo dục và Đào tạo công nhận, trừ trường hợp được miễn thực hiện thủ tục công nhận văn bằng theo quy định của pháp luật.</w:t>
            </w:r>
          </w:p>
          <w:p w14:paraId="7D869E96"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pacing w:val="-4"/>
                <w:sz w:val="28"/>
                <w:szCs w:val="28"/>
                <w:lang w:val="vi-VN"/>
              </w:rPr>
            </w:pPr>
            <w:r w:rsidRPr="00CD4F27">
              <w:rPr>
                <w:rFonts w:ascii="Times New Roman" w:hAnsi="Times New Roman" w:cs="Times New Roman"/>
                <w:color w:val="000000" w:themeColor="text1"/>
                <w:spacing w:val="-4"/>
                <w:sz w:val="28"/>
                <w:szCs w:val="28"/>
                <w:lang w:val="vi-VN"/>
              </w:rPr>
              <w:t>4. Khi trúng tuyển, người được thu hút phải đảm bảo sẵn sàng nhận nhiệm vụ.</w:t>
            </w:r>
          </w:p>
          <w:p w14:paraId="307ECA71"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 xml:space="preserve">5. Trường hợp thu hút theo hình thức tuyển dụng, tiếp nhận vào làm công chức, viên chức, cá nhân phải đáp ứng đủ điều kiện, tiêu chuẩn để thực hiện việc tuyển dụng, tiếp nhận vào làm công chức, viên chức theo quy định của pháp luật và phải cam kết làm việc tại cơ quan, đơn vị đã thu hút trong thời gian tối thiểu 07 năm kể từ ngày có Quyết định tuyển dụng, tiếp nhận. Người được thu </w:t>
            </w:r>
            <w:r w:rsidRPr="00CD4F27">
              <w:rPr>
                <w:rFonts w:ascii="Times New Roman" w:hAnsi="Times New Roman" w:cs="Times New Roman"/>
                <w:color w:val="000000" w:themeColor="text1"/>
                <w:sz w:val="28"/>
                <w:szCs w:val="28"/>
                <w:lang w:val="vi-VN"/>
              </w:rPr>
              <w:lastRenderedPageBreak/>
              <w:t xml:space="preserve">hút bằng hình thức tuyển dụng, tiếp nhận không quá 50 tuổi. </w:t>
            </w:r>
          </w:p>
          <w:p w14:paraId="0B2924E6"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6. Trường hợp hợp đồng thực hiện một số nhiệm vụ của công chức, viên chức theo quy định của Luật Cán bộ, công chức số 80/2025/QH15 và Luật Viên chức số 129/2025/QH15 phải đáp ứng các điều kiện chuyên môn, nghiệp vụ theo yêu cầu của vị trí việc làm công chức, viên chức theo quy định của pháp luật.</w:t>
            </w:r>
          </w:p>
          <w:p w14:paraId="6CC620A2" w14:textId="447948D9" w:rsidR="00025AD7" w:rsidRPr="00CD4F27" w:rsidRDefault="00131289"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7. Công chức, viên chức đang công tác ngoài tỉnh hoặc tại các tổ chức thuộc cơ quan trung ương được tổ chức theo ngành dọc đặt tại tỉnh, nếu được thu hút về tỉnh phải có kết quả đánh giá, xếp loại chất lượng đạt mức hoàn thành tốt nhiệm vụ trở lên trong 03 năm liên tiếp gần nhất tính đến thời điểm nộp hồ sơ.</w:t>
            </w:r>
          </w:p>
        </w:tc>
        <w:tc>
          <w:tcPr>
            <w:tcW w:w="5386" w:type="dxa"/>
            <w:tcMar>
              <w:top w:w="100" w:type="dxa"/>
              <w:left w:w="100" w:type="dxa"/>
              <w:bottom w:w="100" w:type="dxa"/>
              <w:right w:w="100" w:type="dxa"/>
            </w:tcMar>
          </w:tcPr>
          <w:p w14:paraId="771D0144" w14:textId="77777777"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lastRenderedPageBreak/>
              <w:t>Điều 6 đặt ra các điều kiện, tiểu chuẩn để đảm bảo nhân lực thu hút không chỉ giỏi về chuyên môn mà còn phù hợp với các yêu cầu khác của pháp luật, nhiệm vụ công tác, đảm bảo chất lượng, sự ổn định của người được thu hút vào làm việc.</w:t>
            </w:r>
          </w:p>
          <w:p w14:paraId="6EB66C1F" w14:textId="76F9AF7E"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xml:space="preserve">Đối tượng không thuộc diện thu hút quy định tại Khoản 1, thể hiện nguyên tắc chính </w:t>
            </w:r>
            <w:r w:rsidRPr="00CD4F27">
              <w:rPr>
                <w:rFonts w:ascii="Times New Roman" w:eastAsia="Times New Roman" w:hAnsi="Times New Roman" w:cs="Times New Roman"/>
                <w:color w:val="000000" w:themeColor="text1"/>
                <w:sz w:val="28"/>
                <w:szCs w:val="28"/>
                <w:lang w:val="vi-VN"/>
              </w:rPr>
              <w:lastRenderedPageBreak/>
              <w:t>sách thu hút là dành cho nhân lực mới, tránh việc áp dụng ưu đãi này cho đội ngũ cán bộ, công chức, viên chức đã có sẵn trong hệ thống chính trị của tỉnh. Nếu cần nâng cao trình độ, năng lực, khuyến khích, động viên cho nhân sự hiện tại thì áp dụng chính sách về hỗ trợ đào tạo và các chính sách đào tạo, bồi dưỡng, ưu đãi khác.</w:t>
            </w:r>
          </w:p>
        </w:tc>
      </w:tr>
      <w:tr w:rsidR="00025AD7" w:rsidRPr="007F39DA" w14:paraId="11E638B5" w14:textId="77777777" w:rsidTr="000B3164">
        <w:trPr>
          <w:trHeight w:val="20"/>
        </w:trPr>
        <w:tc>
          <w:tcPr>
            <w:tcW w:w="3692" w:type="dxa"/>
            <w:tcMar>
              <w:top w:w="100" w:type="dxa"/>
              <w:left w:w="100" w:type="dxa"/>
              <w:bottom w:w="100" w:type="dxa"/>
              <w:right w:w="100" w:type="dxa"/>
            </w:tcMar>
          </w:tcPr>
          <w:p w14:paraId="6CE4A72B" w14:textId="7279191F"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lastRenderedPageBreak/>
              <w:t>- Khoản 3 Kết luận số 205-KL/TW ngày 07/11/2025 của Ban Chấp hành Trung ương;</w:t>
            </w:r>
          </w:p>
          <w:p w14:paraId="531F5333" w14:textId="77777777"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xml:space="preserve">- Khoản 1 Điều 5, Điều 7, Điều 8, Điều 9, Điều 10, Điều 11, Điều 12, Điều 13 và khoản </w:t>
            </w:r>
            <w:r w:rsidRPr="00CD4F27">
              <w:rPr>
                <w:rFonts w:ascii="Times New Roman" w:eastAsia="Times New Roman" w:hAnsi="Times New Roman" w:cs="Times New Roman"/>
                <w:color w:val="000000" w:themeColor="text1"/>
                <w:sz w:val="28"/>
                <w:szCs w:val="28"/>
                <w:lang w:val="vi-VN"/>
              </w:rPr>
              <w:lastRenderedPageBreak/>
              <w:t>1 Điều 21 Nghị định 179/2024/NĐ-CP ngày 31/12/2024 của Chính phủ;</w:t>
            </w:r>
          </w:p>
          <w:p w14:paraId="73C79BC6" w14:textId="4617F3B7"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Điều 39, Điều 40 và Điều 41 Nghị định số 263/2025/NĐ-CP ngày 14/10/2025 của Chính phủ;</w:t>
            </w:r>
          </w:p>
          <w:p w14:paraId="43D90AE3" w14:textId="7FE43268"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xml:space="preserve">- </w:t>
            </w:r>
            <w:r w:rsidRPr="00CD4F27">
              <w:rPr>
                <w:rFonts w:ascii="Times New Roman" w:hAnsi="Times New Roman" w:cs="Times New Roman"/>
                <w:color w:val="000000" w:themeColor="text1"/>
                <w:spacing w:val="-4"/>
                <w:sz w:val="28"/>
                <w:szCs w:val="28"/>
                <w:lang w:val="vi-VN"/>
              </w:rPr>
              <w:t>Điều 8, Điều 9 và Điều 10 Nghị định số 249/2025/NĐ-CP ngày 19/9/2025 của Chính phủ.</w:t>
            </w:r>
          </w:p>
        </w:tc>
        <w:tc>
          <w:tcPr>
            <w:tcW w:w="5812" w:type="dxa"/>
          </w:tcPr>
          <w:p w14:paraId="6F276AB5" w14:textId="77777777" w:rsidR="00131289" w:rsidRPr="00CD4F27" w:rsidRDefault="00131289" w:rsidP="0010000B">
            <w:pPr>
              <w:spacing w:before="80" w:after="80" w:line="240" w:lineRule="auto"/>
              <w:ind w:firstLine="331"/>
              <w:jc w:val="both"/>
              <w:rPr>
                <w:rFonts w:ascii="Times New Roman" w:hAnsi="Times New Roman" w:cs="Times New Roman"/>
                <w:b/>
                <w:bCs/>
                <w:color w:val="000000" w:themeColor="text1"/>
                <w:sz w:val="28"/>
                <w:szCs w:val="28"/>
                <w:lang w:val="vi-VN"/>
              </w:rPr>
            </w:pPr>
            <w:r w:rsidRPr="00CD4F27">
              <w:rPr>
                <w:rFonts w:ascii="Times New Roman" w:hAnsi="Times New Roman" w:cs="Times New Roman"/>
                <w:b/>
                <w:bCs/>
                <w:color w:val="000000" w:themeColor="text1"/>
                <w:sz w:val="28"/>
                <w:szCs w:val="28"/>
                <w:lang w:val="vi-VN"/>
              </w:rPr>
              <w:lastRenderedPageBreak/>
              <w:t>Điều 7. Chính sách đối với người được thu hút theo hình thức tuyển dụng, tiếp nhận</w:t>
            </w:r>
            <w:r w:rsidRPr="00CD4F27">
              <w:rPr>
                <w:color w:val="000000" w:themeColor="text1"/>
                <w:lang w:val="vi-VN"/>
              </w:rPr>
              <w:t xml:space="preserve"> </w:t>
            </w:r>
            <w:r w:rsidRPr="00CD4F27">
              <w:rPr>
                <w:rFonts w:ascii="Times New Roman" w:hAnsi="Times New Roman" w:cs="Times New Roman"/>
                <w:b/>
                <w:bCs/>
                <w:color w:val="000000" w:themeColor="text1"/>
                <w:sz w:val="28"/>
                <w:szCs w:val="28"/>
                <w:lang w:val="vi-VN"/>
              </w:rPr>
              <w:t>vào làm công chức, viên chức</w:t>
            </w:r>
          </w:p>
          <w:p w14:paraId="5635A4BA"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 xml:space="preserve">Đối tượng đáp ứng quy định tại khoản 1 Điều 2 và Điều 6 Nghị quyết này được thu hút theo hình thức tuyển dụng, tiếp nhận vào làm công chức, </w:t>
            </w:r>
            <w:r w:rsidRPr="00CD4F27">
              <w:rPr>
                <w:rFonts w:ascii="Times New Roman" w:hAnsi="Times New Roman" w:cs="Times New Roman"/>
                <w:color w:val="000000" w:themeColor="text1"/>
                <w:sz w:val="28"/>
                <w:szCs w:val="28"/>
                <w:lang w:val="vi-VN"/>
              </w:rPr>
              <w:lastRenderedPageBreak/>
              <w:t>viên chức tại các cơ quan, đơn vị của tỉnh được hưởng các chính sách sau:</w:t>
            </w:r>
          </w:p>
          <w:p w14:paraId="62FD60E4"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1. Chính sách hỗ trợ ban đầu</w:t>
            </w:r>
          </w:p>
          <w:p w14:paraId="2D7AE531"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Được hỗ trợ một lần ban đầu theo trình độ, học hàm, học vị như sau:</w:t>
            </w:r>
          </w:p>
          <w:p w14:paraId="5EB764E3" w14:textId="4F68E185"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rPr>
            </w:pPr>
            <w:r w:rsidRPr="00CD4F27">
              <w:rPr>
                <w:rFonts w:ascii="Times New Roman" w:hAnsi="Times New Roman" w:cs="Times New Roman"/>
                <w:color w:val="000000" w:themeColor="text1"/>
                <w:sz w:val="28"/>
                <w:szCs w:val="28"/>
                <w:lang w:val="vi-VN"/>
              </w:rPr>
              <w:t>a) Đại học: 500 triệu đồng</w:t>
            </w:r>
            <w:r w:rsidR="00042434" w:rsidRPr="00CD4F27">
              <w:rPr>
                <w:rFonts w:ascii="Times New Roman" w:hAnsi="Times New Roman" w:cs="Times New Roman"/>
                <w:color w:val="000000" w:themeColor="text1"/>
                <w:sz w:val="28"/>
                <w:szCs w:val="28"/>
              </w:rPr>
              <w:t>.</w:t>
            </w:r>
          </w:p>
          <w:p w14:paraId="3CA63B5F" w14:textId="7C9984BF"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rPr>
            </w:pPr>
            <w:r w:rsidRPr="00CD4F27">
              <w:rPr>
                <w:rFonts w:ascii="Times New Roman" w:hAnsi="Times New Roman" w:cs="Times New Roman"/>
                <w:color w:val="000000" w:themeColor="text1"/>
                <w:sz w:val="28"/>
                <w:szCs w:val="28"/>
                <w:lang w:val="vi-VN"/>
              </w:rPr>
              <w:t>b) Thạc sĩ: 700 triệu đồng</w:t>
            </w:r>
            <w:r w:rsidR="00042434" w:rsidRPr="00CD4F27">
              <w:rPr>
                <w:rFonts w:ascii="Times New Roman" w:hAnsi="Times New Roman" w:cs="Times New Roman"/>
                <w:color w:val="000000" w:themeColor="text1"/>
                <w:sz w:val="28"/>
                <w:szCs w:val="28"/>
              </w:rPr>
              <w:t>.</w:t>
            </w:r>
          </w:p>
          <w:p w14:paraId="50407C5C" w14:textId="4FE40210"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rPr>
            </w:pPr>
            <w:r w:rsidRPr="00CD4F27">
              <w:rPr>
                <w:rFonts w:ascii="Times New Roman" w:hAnsi="Times New Roman" w:cs="Times New Roman"/>
                <w:color w:val="000000" w:themeColor="text1"/>
                <w:sz w:val="28"/>
                <w:szCs w:val="28"/>
                <w:lang w:val="vi-VN"/>
              </w:rPr>
              <w:t>c) Tiến sĩ: 1.000 triệu đồng</w:t>
            </w:r>
            <w:r w:rsidR="00042434" w:rsidRPr="00CD4F27">
              <w:rPr>
                <w:rFonts w:ascii="Times New Roman" w:hAnsi="Times New Roman" w:cs="Times New Roman"/>
                <w:color w:val="000000" w:themeColor="text1"/>
                <w:sz w:val="28"/>
                <w:szCs w:val="28"/>
              </w:rPr>
              <w:t>.</w:t>
            </w:r>
          </w:p>
          <w:p w14:paraId="54EFAEE3" w14:textId="44188458"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rPr>
            </w:pPr>
            <w:r w:rsidRPr="00CD4F27">
              <w:rPr>
                <w:rFonts w:ascii="Times New Roman" w:hAnsi="Times New Roman" w:cs="Times New Roman"/>
                <w:color w:val="000000" w:themeColor="text1"/>
                <w:sz w:val="28"/>
                <w:szCs w:val="28"/>
                <w:lang w:val="vi-VN"/>
              </w:rPr>
              <w:t>d) Phó Giáo sư: 1.500 triệu đồng</w:t>
            </w:r>
            <w:r w:rsidR="00042434" w:rsidRPr="00CD4F27">
              <w:rPr>
                <w:rFonts w:ascii="Times New Roman" w:hAnsi="Times New Roman" w:cs="Times New Roman"/>
                <w:color w:val="000000" w:themeColor="text1"/>
                <w:sz w:val="28"/>
                <w:szCs w:val="28"/>
              </w:rPr>
              <w:t>.</w:t>
            </w:r>
          </w:p>
          <w:p w14:paraId="0A150FA9"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e) Giáo sư: 2.000 triệu đồng.</w:t>
            </w:r>
          </w:p>
          <w:p w14:paraId="65068E06"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2. Chính sách về thu nhập theo lợi nhuận hoặc giá trị công trình</w:t>
            </w:r>
          </w:p>
          <w:p w14:paraId="47836EE5"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pacing w:val="-2"/>
                <w:sz w:val="28"/>
                <w:szCs w:val="28"/>
                <w:lang w:val="vi-VN"/>
              </w:rPr>
            </w:pPr>
            <w:r w:rsidRPr="00CD4F27">
              <w:rPr>
                <w:rFonts w:ascii="Times New Roman" w:hAnsi="Times New Roman" w:cs="Times New Roman"/>
                <w:color w:val="000000" w:themeColor="text1"/>
                <w:spacing w:val="-2"/>
                <w:sz w:val="28"/>
                <w:szCs w:val="28"/>
                <w:lang w:val="vi-VN"/>
              </w:rPr>
              <w:t xml:space="preserve">Mỗi công trình, đề án, đề tài nghiên cứu khoa học, giải pháp, sáng kiến, đổi mới, sáng tạo trong kỹ thuật, công nghệ, chuyển đổi số (sau đây viết tắt là công trình) từ cấp tỉnh và tương đương trở lên có giá trị thực tiễn, được cơ quan có thẩm quyền công nhận thì được hưởng 30% lợi nhuận hoặc giá trị (được quy ra thành tiền) từ việc thương mại hóa kết quả nghiên cứu. Trường hợp không xác định được mức lợi nhuận hoặc giá trị thì mỗi một công trình được hưởng mức thu nhập với giá trị bằng 5% tổng </w:t>
            </w:r>
            <w:r w:rsidRPr="00CD4F27">
              <w:rPr>
                <w:rFonts w:ascii="Times New Roman" w:hAnsi="Times New Roman" w:cs="Times New Roman"/>
                <w:color w:val="000000" w:themeColor="text1"/>
                <w:spacing w:val="-2"/>
                <w:sz w:val="28"/>
                <w:szCs w:val="28"/>
                <w:lang w:val="vi-VN"/>
              </w:rPr>
              <w:lastRenderedPageBreak/>
              <w:t>kinh phí ngân sách tỉnh chi trả cho công trình đó và tối đa là 500 triệu đồng/công trình; đối với công trình có nhiều người thuộc đối tượng được thu hút cùng tham gia 01 công trình thì thực hiện mức hỗ trợ cho nhóm thực hiện công trình đó.</w:t>
            </w:r>
          </w:p>
          <w:p w14:paraId="1842248E"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3. Chính sách về nhà ở, phương tiện đi lại</w:t>
            </w:r>
          </w:p>
          <w:p w14:paraId="3C811B80"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a) Được hỗ trợ tiền thuê nhà ở tối đa 10 triệu đồng/tháng. Người được hỗ trợ thuê nhà ở phải đáp ứng các điều kiện sau: Không được bố trí nhà ở công vụ và nơi ở cách trụ sở làm việc trên 15 km đối với địa bàn biên giới, miền núi, hải đảo được cấp có thẩm quyền công nhận, trên 30 km đối với các địa bàn còn lại.</w:t>
            </w:r>
          </w:p>
          <w:p w14:paraId="4008D504"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b) Được ưu tiên cao nhất trong nhóm đối tượng cán bộ, công chức, viên chức được thuê, mua nhà ở xã hội theo quy định của pháp luật.</w:t>
            </w:r>
          </w:p>
          <w:p w14:paraId="2DE0DA4A"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c) Căn cứ vào nhiệm vụ được giao, được hỗ trợ phương tiện đi lại hoặc khoán chi phí đi lại trong quá trình thực hiện nhiệm vụ theo quy định.</w:t>
            </w:r>
          </w:p>
          <w:p w14:paraId="26230893"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4. Chính sách ưu tiên</w:t>
            </w:r>
          </w:p>
          <w:p w14:paraId="290CB204"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 xml:space="preserve">a) Được bố trí, phân công công việc phù hợp với năng lực, trình độ, chuyên ngành được đào tạo; được tạo điều kiện thuận lợi về môi trường làm </w:t>
            </w:r>
            <w:r w:rsidRPr="00CD4F27">
              <w:rPr>
                <w:rFonts w:ascii="Times New Roman" w:hAnsi="Times New Roman" w:cs="Times New Roman"/>
                <w:color w:val="000000" w:themeColor="text1"/>
                <w:sz w:val="28"/>
                <w:szCs w:val="28"/>
                <w:lang w:val="vi-VN"/>
              </w:rPr>
              <w:lastRenderedPageBreak/>
              <w:t>việc để phát huy năng lực, sở trường, hoàn thành tốt nhiệm vụ được giao.</w:t>
            </w:r>
          </w:p>
          <w:p w14:paraId="67160949"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b) Được ưu tiên xem xét cử đi đào tạo, bồi dưỡng nâng cao trình độ chuyên môn, nghiệp vụ.</w:t>
            </w:r>
          </w:p>
          <w:p w14:paraId="536F1A72"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c) Được ưu tiên xem xét quy hoạch, bổ nhiệm các chức danh lãnh đạo, quản lý nếu đủ điều kiện, tiêu chuẩn.</w:t>
            </w:r>
          </w:p>
          <w:p w14:paraId="68567AF4"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5. Chính sách khác</w:t>
            </w:r>
          </w:p>
          <w:p w14:paraId="58B7BFED"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a) Trường hợp là sinh viên tốt nghiệp xuất sắc, chuyên gia, nhà quản lý, nhà quản trị doanh nghiệp, nhà khoa học đầu ngành là người Việt Nam khi được tuyển dụng, tiếp nhận vào làm công chức, viên chức còn được hưởng các chính sách ưu đãi có liên quan theo quy định tại Nghị định số 179/2024/NĐ-CP.</w:t>
            </w:r>
          </w:p>
          <w:p w14:paraId="0CC31C4D" w14:textId="1C4AC669" w:rsidR="00025AD7" w:rsidRPr="00CD4F27" w:rsidRDefault="00131289"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b) Trường hợp là nhà khoa học trẻ tài năng, kỹ sư trẻ tài năng, n</w:t>
            </w:r>
            <w:r w:rsidRPr="00CD4F27">
              <w:rPr>
                <w:rFonts w:ascii="Times New Roman" w:hAnsi="Times New Roman" w:cs="Times New Roman"/>
                <w:color w:val="000000" w:themeColor="text1"/>
                <w:spacing w:val="-4"/>
                <w:sz w:val="28"/>
                <w:szCs w:val="28"/>
                <w:lang w:val="vi-VN"/>
              </w:rPr>
              <w:t>hân tài trong lĩnh vực khoa học, công nghệ và đổi mới, sáng tạo</w:t>
            </w:r>
            <w:r w:rsidRPr="00CD4F27">
              <w:rPr>
                <w:rFonts w:ascii="Times New Roman" w:hAnsi="Times New Roman" w:cs="Times New Roman"/>
                <w:color w:val="000000" w:themeColor="text1"/>
                <w:sz w:val="28"/>
                <w:szCs w:val="28"/>
                <w:lang w:val="vi-VN"/>
              </w:rPr>
              <w:t xml:space="preserve"> khi được tuyển dụng, tiếp nhận vào làm công chức, viên chức còn được hưởng các chính sách ưu đãi có liên quan theo quy định tại Nghị định số 263/2025/NĐ-CP.</w:t>
            </w:r>
          </w:p>
        </w:tc>
        <w:tc>
          <w:tcPr>
            <w:tcW w:w="5386" w:type="dxa"/>
            <w:tcMar>
              <w:top w:w="100" w:type="dxa"/>
              <w:left w:w="100" w:type="dxa"/>
              <w:bottom w:w="100" w:type="dxa"/>
              <w:right w:w="100" w:type="dxa"/>
            </w:tcMar>
          </w:tcPr>
          <w:p w14:paraId="0BF441AC" w14:textId="07DEE350"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lastRenderedPageBreak/>
              <w:t>Điều 7 Nghị quyết quy định rõ các chính sách ưu đãi vượt trội nhằm cạnh tranh thu hút nhân lực chất lượng cao từ các thành phố lớn hoặc khu vực tư nhân, khuyến khích nhân lực chất lượng cao chuyển đến làm việc và gắn bó lâu dài với tỉnh Đắk Lắk.</w:t>
            </w:r>
          </w:p>
          <w:p w14:paraId="34880DF8" w14:textId="136A7BB8"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lastRenderedPageBreak/>
              <w:t>Khoản 1 quy định mức hỗ trợ ban đầu, đây là một khoản hỗ trợ tài chính lớn, một lần để tạo động lực thu hút và để giúp người được thu hút giải quyết các khó khăn ban đầu ổn định cuộc sống, công việc mới. Mức hỗ trợ được quy định tăng theo trình độ chuyên môn, học hàm, học vị (từ Đại học đến Giáo sư), thể hiện sự coi trọng đối với nhân lực có trình độ cao, đặc biệt là các học hàm Tiến sĩ, Phó Giáo sư, Giáo sư, những nhân sự hiếm và có giá trị chuyên môn cao nhất.</w:t>
            </w:r>
          </w:p>
          <w:p w14:paraId="628CBC8E" w14:textId="178B9EA8"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Khoản 2 quy định mức thu nhập theo lợi nhuận hoặc giá trị công trình, thiết lập cơ chế thu nhập gắn với giá trị sản phẩm, giá trị kinh tế của công trình, tạo động lực nghiên cứu, phát minh khoa học, đổi mới sáng tạo thực chất hơn.</w:t>
            </w:r>
          </w:p>
          <w:p w14:paraId="4C2A8F24" w14:textId="3A468146"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Đồng thời, chính sách về nhà ở, phương tiện đi lại được quy định tại khoản 3 với mục đích giúp người được thu hút ổn định cuộc sống, an tâm làm việc, cống hiến lâu dài.</w:t>
            </w:r>
          </w:p>
          <w:p w14:paraId="487CDF18" w14:textId="6D0ABB91"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xml:space="preserve">Khoản 4 quy định chính sách ưu tiên trong phân công, bố trí công tác, môi trường làm </w:t>
            </w:r>
            <w:r w:rsidRPr="00CD4F27">
              <w:rPr>
                <w:rFonts w:ascii="Times New Roman" w:eastAsia="Times New Roman" w:hAnsi="Times New Roman" w:cs="Times New Roman"/>
                <w:color w:val="000000" w:themeColor="text1"/>
                <w:sz w:val="28"/>
                <w:szCs w:val="28"/>
                <w:lang w:val="vi-VN"/>
              </w:rPr>
              <w:lastRenderedPageBreak/>
              <w:t>việc, đào tạo, bồi dưỡng và cơ hội thăng tiến, phát triển nghề nghiệp.</w:t>
            </w:r>
          </w:p>
          <w:p w14:paraId="67D28286" w14:textId="7070C35B"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xml:space="preserve">Ngoài ra, tại khoản 5 quy định sinh viên tốt nghiệp xuất sắc, chuyên gia, nhà quản lý, nhà quản trị doanh nghiệp, nhà khoa học đầu ngành là người Việt Nam, nhà khoa học trẻ tài năng, kỹ sư trẻ tài năng, nhân tài trong lĩnh vực khoa học, công nghệ và đổi mới, sáng tạo khi được tuyển dụng, tiếp nhận vào làm công chức, viên chức còn được hưởng chính sách ưu đãi có liên quan theo quy định tại Nghị định số 179/2024/NĐ-CP và </w:t>
            </w:r>
            <w:r w:rsidRPr="00CD4F27">
              <w:rPr>
                <w:rFonts w:ascii="Times New Roman" w:hAnsi="Times New Roman" w:cs="Times New Roman"/>
                <w:color w:val="000000" w:themeColor="text1"/>
                <w:sz w:val="28"/>
                <w:szCs w:val="28"/>
                <w:lang w:val="vi-VN"/>
              </w:rPr>
              <w:t>Nghị định số 263/2025/NĐ-CP</w:t>
            </w:r>
            <w:r w:rsidRPr="00CD4F27">
              <w:rPr>
                <w:rFonts w:ascii="Times New Roman" w:eastAsia="Times New Roman" w:hAnsi="Times New Roman" w:cs="Times New Roman"/>
                <w:color w:val="000000" w:themeColor="text1"/>
                <w:sz w:val="28"/>
                <w:szCs w:val="28"/>
                <w:lang w:val="vi-VN"/>
              </w:rPr>
              <w:t xml:space="preserve"> để đảm bảo theo quy định.</w:t>
            </w:r>
          </w:p>
        </w:tc>
      </w:tr>
      <w:tr w:rsidR="00025AD7" w:rsidRPr="007F39DA" w14:paraId="3D0C72B5" w14:textId="77777777" w:rsidTr="000B3164">
        <w:trPr>
          <w:trHeight w:val="20"/>
        </w:trPr>
        <w:tc>
          <w:tcPr>
            <w:tcW w:w="3692" w:type="dxa"/>
            <w:tcMar>
              <w:top w:w="100" w:type="dxa"/>
              <w:left w:w="100" w:type="dxa"/>
              <w:bottom w:w="100" w:type="dxa"/>
              <w:right w:w="100" w:type="dxa"/>
            </w:tcMar>
          </w:tcPr>
          <w:p w14:paraId="2AC59D78" w14:textId="470796CA"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lastRenderedPageBreak/>
              <w:t>- Khoản 3 Kết luận số 205-KL/TW ngày 07/11/2025 của Ban Chấp hành Trung ương;</w:t>
            </w:r>
          </w:p>
          <w:p w14:paraId="67FDEF52" w14:textId="77777777"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Khoản 1 Điều 5, Điều 7, Điều 8, Điều 9, Điều 10, Điều 11, Điều 12, Điều 13 và khoản 1 Điều 21 Nghị định 179/2024/NĐ-CP ngày 31/12/2024 của Chính phủ;</w:t>
            </w:r>
          </w:p>
          <w:p w14:paraId="13D318CC" w14:textId="4DDE3E0D"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Điều 41 Nghị định số 263/2025/NĐ-CP ngày 14/10/2025 của Chính phủ;</w:t>
            </w:r>
          </w:p>
          <w:p w14:paraId="3A5E9DFC" w14:textId="246B1531"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xml:space="preserve">- </w:t>
            </w:r>
            <w:r w:rsidRPr="00CD4F27">
              <w:rPr>
                <w:rFonts w:ascii="Times New Roman" w:hAnsi="Times New Roman" w:cs="Times New Roman"/>
                <w:color w:val="000000" w:themeColor="text1"/>
                <w:spacing w:val="-4"/>
                <w:sz w:val="28"/>
                <w:szCs w:val="28"/>
                <w:lang w:val="vi-VN"/>
              </w:rPr>
              <w:t>Điều 8, Điều 9 và Điều 10 Nghị định số 249/2025/NĐ-CP ngày 19/9/2025 của Chính phủ.</w:t>
            </w:r>
          </w:p>
        </w:tc>
        <w:tc>
          <w:tcPr>
            <w:tcW w:w="5812" w:type="dxa"/>
          </w:tcPr>
          <w:p w14:paraId="0601F4C1" w14:textId="77777777" w:rsidR="00131289" w:rsidRPr="00CD4F27" w:rsidRDefault="00131289" w:rsidP="0010000B">
            <w:pPr>
              <w:spacing w:before="80" w:after="80" w:line="240" w:lineRule="auto"/>
              <w:ind w:firstLine="331"/>
              <w:jc w:val="both"/>
              <w:rPr>
                <w:rFonts w:ascii="Times New Roman" w:hAnsi="Times New Roman" w:cs="Times New Roman"/>
                <w:b/>
                <w:bCs/>
                <w:color w:val="000000" w:themeColor="text1"/>
                <w:sz w:val="28"/>
                <w:szCs w:val="28"/>
                <w:lang w:val="vi-VN"/>
              </w:rPr>
            </w:pPr>
            <w:r w:rsidRPr="00CD4F27">
              <w:rPr>
                <w:rFonts w:ascii="Times New Roman" w:hAnsi="Times New Roman" w:cs="Times New Roman"/>
                <w:b/>
                <w:bCs/>
                <w:color w:val="000000" w:themeColor="text1"/>
                <w:sz w:val="28"/>
                <w:szCs w:val="28"/>
                <w:lang w:val="vi-VN"/>
              </w:rPr>
              <w:t xml:space="preserve">Điều 8. Chính sách </w:t>
            </w:r>
            <w:bookmarkStart w:id="6" w:name="_Hlk223895836"/>
            <w:r w:rsidRPr="00CD4F27">
              <w:rPr>
                <w:rFonts w:ascii="Times New Roman" w:hAnsi="Times New Roman" w:cs="Times New Roman"/>
                <w:b/>
                <w:bCs/>
                <w:color w:val="000000" w:themeColor="text1"/>
                <w:sz w:val="28"/>
                <w:szCs w:val="28"/>
                <w:lang w:val="vi-VN"/>
              </w:rPr>
              <w:t>đối với người được thu hút theo hình thức hợp đồng lao động xác định thời hạn</w:t>
            </w:r>
            <w:bookmarkEnd w:id="6"/>
          </w:p>
          <w:p w14:paraId="14173EF2"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1. Đối tượng đáp ứng quy định tại các điểm c, điểm d và điểm đ khoản 1 Điều 2 và Điều 6 Nghị quyết này được thu hút theo hình thức hợp đồng lao động xác định thời hạn tại các cơ quan, đơn vị của tỉnh được hưởng các chính sách sau:</w:t>
            </w:r>
          </w:p>
          <w:p w14:paraId="5AD6918B"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rPr>
              <w:t>a)</w:t>
            </w:r>
            <w:r w:rsidRPr="00CD4F27">
              <w:rPr>
                <w:rFonts w:ascii="Times New Roman" w:hAnsi="Times New Roman" w:cs="Times New Roman"/>
                <w:color w:val="000000" w:themeColor="text1"/>
                <w:sz w:val="28"/>
                <w:szCs w:val="28"/>
                <w:lang w:val="vi-VN"/>
              </w:rPr>
              <w:t xml:space="preserve"> Chính sách hỗ trợ ban đầu</w:t>
            </w:r>
          </w:p>
          <w:p w14:paraId="749A7435"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pacing w:val="-6"/>
                <w:sz w:val="28"/>
                <w:szCs w:val="28"/>
                <w:lang w:val="vi-VN"/>
              </w:rPr>
            </w:pPr>
            <w:r w:rsidRPr="00CD4F27">
              <w:rPr>
                <w:rFonts w:ascii="Times New Roman" w:hAnsi="Times New Roman" w:cs="Times New Roman"/>
                <w:color w:val="000000" w:themeColor="text1"/>
                <w:spacing w:val="-6"/>
                <w:sz w:val="28"/>
                <w:szCs w:val="28"/>
                <w:lang w:val="vi-VN"/>
              </w:rPr>
              <w:t>Được hỗ trợ ban đầu mức tối đa 500 triệu đồng/người. Chính sách hỗ trợ ban đầu chỉ áp dụng 01 lần và cho lần ký hợp đồng đầu tiên.</w:t>
            </w:r>
          </w:p>
          <w:p w14:paraId="646918FA"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b) Chính sách tiền lương</w:t>
            </w:r>
          </w:p>
          <w:p w14:paraId="2EF01540"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pacing w:val="-2"/>
                <w:sz w:val="28"/>
                <w:szCs w:val="28"/>
                <w:lang w:val="vi-VN"/>
              </w:rPr>
            </w:pPr>
            <w:r w:rsidRPr="00CD4F27">
              <w:rPr>
                <w:rFonts w:ascii="Times New Roman" w:hAnsi="Times New Roman" w:cs="Times New Roman"/>
                <w:color w:val="000000" w:themeColor="text1"/>
                <w:spacing w:val="-2"/>
                <w:sz w:val="28"/>
                <w:szCs w:val="28"/>
                <w:lang w:val="vi-VN"/>
              </w:rPr>
              <w:t>Được ký kết hợp đồng lao động xác định thời hạn với mức lương tối đa 100 triệu đồng/người/tháng. Mức lương này đã bao gồm tiền lương hàng tháng, các khoản phụ cấp kèm theo lương (nếu có), các khoản đóng bảo hiểm xã hội, bảo hiểm y tế, bảo hiểm thất nghiệp và các loại bảo hiểm khác theo quy định của pháp luật.</w:t>
            </w:r>
          </w:p>
          <w:p w14:paraId="4B6BF757"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lastRenderedPageBreak/>
              <w:t>c) Được hưởng chính sách theo quy định tại khoản 2, khoản 3 và điểm a khoản 4 Điều 7 Nghị quyết này.</w:t>
            </w:r>
          </w:p>
          <w:p w14:paraId="07FC9C33"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d) Ngoài các chính sách nêu tại điểm a, điểm b và điểm c khoản này, người được thu hút theo hình thức hợp đồng lao động xác định thời hạn còn được hưởng các chính sách liên quan theo quy định tại Nghị định số 179/2024/NĐ-CP</w:t>
            </w:r>
            <w:r w:rsidRPr="00CD4F27">
              <w:rPr>
                <w:color w:val="000000" w:themeColor="text1"/>
                <w:lang w:val="vi-VN"/>
              </w:rPr>
              <w:t xml:space="preserve"> </w:t>
            </w:r>
            <w:r w:rsidRPr="00CD4F27">
              <w:rPr>
                <w:rFonts w:ascii="Times New Roman" w:hAnsi="Times New Roman" w:cs="Times New Roman"/>
                <w:color w:val="000000" w:themeColor="text1"/>
                <w:sz w:val="28"/>
                <w:szCs w:val="28"/>
                <w:lang w:val="vi-VN"/>
              </w:rPr>
              <w:t>hoặc Nghị định số 263/2025/NĐ-CP hoặc Nghị định số 249/2025/NĐ-CP.</w:t>
            </w:r>
          </w:p>
          <w:p w14:paraId="010110F8"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pacing w:val="-2"/>
                <w:sz w:val="28"/>
                <w:szCs w:val="28"/>
                <w:lang w:val="vi-VN"/>
              </w:rPr>
            </w:pPr>
            <w:r w:rsidRPr="00CD4F27">
              <w:rPr>
                <w:rFonts w:ascii="Times New Roman" w:hAnsi="Times New Roman" w:cs="Times New Roman"/>
                <w:color w:val="000000" w:themeColor="text1"/>
                <w:spacing w:val="-2"/>
                <w:sz w:val="28"/>
                <w:szCs w:val="28"/>
                <w:lang w:val="vi-VN"/>
              </w:rPr>
              <w:t>2. Các cơ quan, đơn vị, địa phương có nhu cầu thu hút nhân lực đề xuất mức hỗ trợ ban đầu, mức lương trên cơ sở yêu cầu công việc, điều kiện về năng lực, trình độ, kinh nghiệm công tác, bằng sáng chế, các sản phẩm, dự án đã thực hiện.</w:t>
            </w:r>
          </w:p>
          <w:p w14:paraId="03F36EA1" w14:textId="20F4B5AA" w:rsidR="00025AD7" w:rsidRPr="00CD4F27" w:rsidRDefault="00131289"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3. Trường hợp cá nhân hoàn thành xuất sắc nhiệm vụ và có nguyện vọng tiếp tục cống hiến sẽ được xem xét ưu tiên tuyển dụng, tiếp nhận vào các vị trí việc làm phù hợp với ngành nghề đào tạo theo quy định pháp luật.</w:t>
            </w:r>
          </w:p>
        </w:tc>
        <w:tc>
          <w:tcPr>
            <w:tcW w:w="5386" w:type="dxa"/>
            <w:tcMar>
              <w:top w:w="100" w:type="dxa"/>
              <w:left w:w="100" w:type="dxa"/>
              <w:bottom w:w="100" w:type="dxa"/>
              <w:right w:w="100" w:type="dxa"/>
            </w:tcMar>
          </w:tcPr>
          <w:p w14:paraId="74F6F683" w14:textId="34217E34"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lastRenderedPageBreak/>
              <w:t>Điều 8 Nghị quyết quy định chế độ, chính sách ưu đãi đối với người được thu hút đến làm việc theo hình thức hợp đồng lao động xác định thời hạn. Việc quy định chính sách thu hút đối với hình thức hợp đồng lao động là cần thiết, tạo cơ chế linh hoạt và tăng tính chuyên môn hóa, cho phép thu hút được các chuyên gia, nhà khoa học, người có tài năng đang làm việc trong khu vực tư nhân hoặc nước ngoài mà không muốn ràng buộc vào biên chế công vụ, nhưng vẫn có thể đóng góp năng lực chuyên môn vào các công trình, dự án, đề án cụ thể. Cơ chế hợp đồng lao động đảm bảo kinh phí được sử dụng hiệu quả và tập trung vào dự án ngắn hạn hoặc trung hạn. Người được thu hút đến làm việc theo hình thức hợp đồng lao động xác định thời hạn được mức hỗ trợ ban đầu, tiền lương thực hiện theo sự đề xuất của cơ quan, đơn vị, địa phương có nhu cầu thu hút nhân lực, tạo tính linh hoạt tối đa để chi trả dựa trên năng lực, theo công việc, sản phẩm.</w:t>
            </w:r>
          </w:p>
          <w:p w14:paraId="4ED42E99" w14:textId="318B7E09"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xml:space="preserve">Người được thu hút theo Điều 8 cũng được hưởng chính sách về mức thu nhập theo lợi </w:t>
            </w:r>
            <w:r w:rsidRPr="00CD4F27">
              <w:rPr>
                <w:rFonts w:ascii="Times New Roman" w:eastAsia="Times New Roman" w:hAnsi="Times New Roman" w:cs="Times New Roman"/>
                <w:color w:val="000000" w:themeColor="text1"/>
                <w:sz w:val="28"/>
                <w:szCs w:val="28"/>
                <w:lang w:val="vi-VN"/>
              </w:rPr>
              <w:lastRenderedPageBreak/>
              <w:t xml:space="preserve">nhuận hoặc giá trị công trình, chính sách về nhà ở, phương tiện đi lại, được tạo điều kiện bố trí công việc, môi trường làm việc thuận lợi tại khoản 2, khoản 3 </w:t>
            </w:r>
            <w:r w:rsidRPr="00CD4F27">
              <w:rPr>
                <w:rFonts w:ascii="Times New Roman" w:hAnsi="Times New Roman" w:cs="Times New Roman"/>
                <w:color w:val="000000" w:themeColor="text1"/>
                <w:sz w:val="28"/>
                <w:szCs w:val="28"/>
                <w:lang w:val="vi-VN"/>
              </w:rPr>
              <w:t xml:space="preserve">và điểm a khoản 4 </w:t>
            </w:r>
            <w:r w:rsidRPr="00CD4F27">
              <w:rPr>
                <w:rFonts w:ascii="Times New Roman" w:eastAsia="Times New Roman" w:hAnsi="Times New Roman" w:cs="Times New Roman"/>
                <w:color w:val="000000" w:themeColor="text1"/>
                <w:sz w:val="28"/>
                <w:szCs w:val="28"/>
                <w:lang w:val="vi-VN"/>
              </w:rPr>
              <w:t>Điều 7 của Nghị quyết. Đồng thời, được xem xét ưu tiên tuyển dụng, tiếp nhận vào làm công chức, viên chức nếu cá nhân hoàn thành xuất sắc nhiệm vụ và có nguyện vọng. Từ đó, khuyến khích họ gắn bó công tác lâu dài tại tỉnh.</w:t>
            </w:r>
          </w:p>
        </w:tc>
      </w:tr>
      <w:tr w:rsidR="00025AD7" w:rsidRPr="007F39DA" w14:paraId="4C396A2B" w14:textId="77777777" w:rsidTr="000B3164">
        <w:trPr>
          <w:trHeight w:val="20"/>
        </w:trPr>
        <w:tc>
          <w:tcPr>
            <w:tcW w:w="3692" w:type="dxa"/>
            <w:tcMar>
              <w:top w:w="100" w:type="dxa"/>
              <w:left w:w="100" w:type="dxa"/>
              <w:bottom w:w="100" w:type="dxa"/>
              <w:right w:w="100" w:type="dxa"/>
            </w:tcMar>
          </w:tcPr>
          <w:p w14:paraId="3E01A2B4" w14:textId="1D133A8C"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lastRenderedPageBreak/>
              <w:t xml:space="preserve">- Khoản 3 Kết luận số 205-KL/TW ngày 07/11/2025 của </w:t>
            </w:r>
            <w:r w:rsidRPr="00CD4F27">
              <w:rPr>
                <w:rFonts w:ascii="Times New Roman" w:eastAsia="Times New Roman" w:hAnsi="Times New Roman" w:cs="Times New Roman"/>
                <w:color w:val="000000" w:themeColor="text1"/>
                <w:sz w:val="28"/>
                <w:szCs w:val="28"/>
                <w:lang w:val="vi-VN"/>
              </w:rPr>
              <w:lastRenderedPageBreak/>
              <w:t>Ban Chấp hành Trung ương;</w:t>
            </w:r>
          </w:p>
          <w:p w14:paraId="652A7125" w14:textId="137E3960"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Điều 2 và Điều 5 Nghị định số 171/2025/NĐ-CP ngày 30/6/2025 của Chính phủ;</w:t>
            </w:r>
          </w:p>
          <w:p w14:paraId="5DD41A60" w14:textId="6D227460"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Điều 2, Điều 3, Điều 5 và Điều 6 Nghị định số 101/2017/NĐ-CP ngày 01/9/2017 của Chính phủ.</w:t>
            </w:r>
          </w:p>
        </w:tc>
        <w:tc>
          <w:tcPr>
            <w:tcW w:w="5812" w:type="dxa"/>
          </w:tcPr>
          <w:p w14:paraId="4E5E136B"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pacing w:val="-2"/>
                <w:sz w:val="28"/>
                <w:szCs w:val="28"/>
                <w:lang w:val="vi-VN"/>
              </w:rPr>
            </w:pPr>
            <w:r w:rsidRPr="00CD4F27">
              <w:rPr>
                <w:rFonts w:ascii="Times New Roman" w:hAnsi="Times New Roman" w:cs="Times New Roman"/>
                <w:b/>
                <w:bCs/>
                <w:color w:val="000000" w:themeColor="text1"/>
                <w:spacing w:val="-2"/>
                <w:sz w:val="28"/>
                <w:szCs w:val="28"/>
                <w:lang w:val="vi-VN"/>
              </w:rPr>
              <w:lastRenderedPageBreak/>
              <w:t>Điều 9. Tiêu chuẩn, điều kiện áp dụng chính sách hỗ trợ đào tạo</w:t>
            </w:r>
          </w:p>
          <w:p w14:paraId="0A1BCD9C"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lastRenderedPageBreak/>
              <w:t>Các đối tượng quy định tại khoản 2 Điều 2 Nghị quyết này, ngoài việc đáp ứng các tiêu chuẩn, điều kiện theo quy định pháp luật có liên quan còn phải đảm bảo các tiêu chuẩn, điều kiện sau:</w:t>
            </w:r>
          </w:p>
          <w:p w14:paraId="67AB9610"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1. Không trong thời gian xem xét, xử lý kỷ luật hoặc đang trong thời gian thi hành kỷ luật.</w:t>
            </w:r>
          </w:p>
          <w:p w14:paraId="3CA8CD16"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2. Có thời gian công tác từ đủ 03 năm trở lên tính từ ngày được tuyển dụng, tiếp nhận và 03 năm liên tục liền kề trước thời điểm được cử đi đào tạo được đánh giá xếp loại hoàn thành tốt nhiệm vụ trở lên, trong đó có ít nhất 01 năm được đánh giá hoàn thành xuất sắc nhiệm vụ (điều kiện ít nhất 01 năm được đánh giá hoàn thành xuất sắc nhiệm vụ không áp dụng với đối tượng nêu tại điểm d khoản 2 Điều 2 của Nghị quyết này). Trường hợp đặc biệt do cấp có thẩm quyền xem xét, quyết định.</w:t>
            </w:r>
          </w:p>
          <w:p w14:paraId="32D0A6B3"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3. Tính từ ngày có văn bản được cử đi đào tạo, không quá 40 tuổi đối với trình độ đại học; không quá 45 tuổi đối với trình độ thạc sĩ, chuyên khoa I; không quá 50 tuổi đối với trình độ tiến sĩ, chuyên khoa II trở lên. Trường hợp đặc biệt do cấp có thẩm quyền xem xét, quyết định.</w:t>
            </w:r>
          </w:p>
          <w:p w14:paraId="0997F57A"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lastRenderedPageBreak/>
              <w:t>4. Có cam kết thực hiện nhiệm vụ, công vụ tại cơ quan, đơn vị sau khi hoàn thành chương trình đào tạo trong thời gian ít nhất gấp 03 lần thời gian đào tạo (tính từ thời điểm nhập học cho tới khi được cấp bằng tốt nghiệp theo đúng quy định của cơ sở đào tạo).</w:t>
            </w:r>
          </w:p>
          <w:p w14:paraId="25B0F1A2" w14:textId="5FBAB071"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 xml:space="preserve">5. Chuyên ngành cử đi đào tạo phù hợp với yêu cầu chuyên môn của vị trí việc làm; </w:t>
            </w:r>
            <w:r w:rsidR="0015505D" w:rsidRPr="00CD4F27">
              <w:rPr>
                <w:rFonts w:ascii="Times New Roman" w:hAnsi="Times New Roman" w:cs="Times New Roman"/>
                <w:color w:val="000000" w:themeColor="text1"/>
                <w:sz w:val="28"/>
                <w:szCs w:val="28"/>
                <w:lang w:val="vi-VN"/>
              </w:rPr>
              <w:t>h</w:t>
            </w:r>
            <w:r w:rsidRPr="00CD4F27">
              <w:rPr>
                <w:rFonts w:ascii="Times New Roman" w:hAnsi="Times New Roman" w:cs="Times New Roman"/>
                <w:color w:val="000000" w:themeColor="text1"/>
                <w:sz w:val="28"/>
                <w:szCs w:val="28"/>
                <w:lang w:val="vi-VN"/>
              </w:rPr>
              <w:t>oàn thành chương trình đào tạo và được cấp bằng tốt nghiệp theo quy định của cơ sở đào tạo (không áp dụng đối với trường hợp lưu ban).</w:t>
            </w:r>
          </w:p>
          <w:p w14:paraId="1032A30E" w14:textId="77777777" w:rsidR="00131289" w:rsidRPr="00CD4F27" w:rsidRDefault="00131289"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6. Kết quả hoàn thành chương trình đào tạo đại học, thạc sĩ và tương đương phải có kết quả đạt từ loại khá trở lên.</w:t>
            </w:r>
          </w:p>
          <w:p w14:paraId="294A81A9" w14:textId="596D81DE" w:rsidR="00025AD7" w:rsidRPr="007F39DA" w:rsidRDefault="00131289" w:rsidP="0010000B">
            <w:pPr>
              <w:spacing w:before="80" w:after="80" w:line="240" w:lineRule="auto"/>
              <w:ind w:firstLine="331"/>
              <w:jc w:val="both"/>
              <w:rPr>
                <w:rFonts w:ascii="Times New Roman" w:hAnsi="Times New Roman" w:cs="Times New Roman"/>
                <w:color w:val="000000" w:themeColor="text1"/>
                <w:spacing w:val="-2"/>
                <w:sz w:val="28"/>
                <w:szCs w:val="28"/>
                <w:lang w:val="vi-VN"/>
              </w:rPr>
            </w:pPr>
            <w:r w:rsidRPr="00CD4F27">
              <w:rPr>
                <w:rFonts w:ascii="Times New Roman" w:hAnsi="Times New Roman" w:cs="Times New Roman"/>
                <w:color w:val="000000" w:themeColor="text1"/>
                <w:spacing w:val="-2"/>
                <w:sz w:val="28"/>
                <w:szCs w:val="28"/>
                <w:lang w:val="vi-VN"/>
              </w:rPr>
              <w:t>7. Trường hợp đào tạo tại các cơ sở đào tạo nước ngoài, ngoài các quy định tại các khoản 1, khoản 2, khoản 3, khoản 4, khoản 5 và khoản 6 Điều này phải đáp ứng các yêu cầu khác theo chương trình hợp tác đào tạo giữa Việt Nam với nước ngoài, văn bằng tốt nghiệp phải được cơ quan có thẩm quyền công nhận theo quy định của pháp luật.</w:t>
            </w:r>
          </w:p>
        </w:tc>
        <w:tc>
          <w:tcPr>
            <w:tcW w:w="5386" w:type="dxa"/>
            <w:tcMar>
              <w:top w:w="100" w:type="dxa"/>
              <w:left w:w="100" w:type="dxa"/>
              <w:bottom w:w="100" w:type="dxa"/>
              <w:right w:w="100" w:type="dxa"/>
            </w:tcMar>
          </w:tcPr>
          <w:p w14:paraId="2A5CFBED" w14:textId="0166B800"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lastRenderedPageBreak/>
              <w:t xml:space="preserve">Điều 9 đặt ra các điều kiện, tiểu chuẩn để đảm bảo người được hưởng chính sách hỗ trợ </w:t>
            </w:r>
            <w:r w:rsidRPr="00CD4F27">
              <w:rPr>
                <w:rFonts w:ascii="Times New Roman" w:eastAsia="Times New Roman" w:hAnsi="Times New Roman" w:cs="Times New Roman"/>
                <w:color w:val="000000" w:themeColor="text1"/>
                <w:sz w:val="28"/>
                <w:szCs w:val="28"/>
                <w:lang w:val="vi-VN"/>
              </w:rPr>
              <w:lastRenderedPageBreak/>
              <w:t>đào tạo là người có năng lực, trình độ, phù hợp để đào tạo thành nhân lực chất lượng cao; đồng thời phù hợp với các yêu cầu khác của pháp luật, nhiệm vụ công tác, đảm bảo chất lượng, tạo động lực thúc đẩy công chức, viên chức học tập nâng cao trình độ và gắn bó cống hiến lâu dài cho cơ quan, đơn vị, địa phương.</w:t>
            </w:r>
          </w:p>
        </w:tc>
      </w:tr>
      <w:tr w:rsidR="00025AD7" w:rsidRPr="007F39DA" w14:paraId="33EA6A9B" w14:textId="77777777" w:rsidTr="000B3164">
        <w:trPr>
          <w:trHeight w:val="20"/>
        </w:trPr>
        <w:tc>
          <w:tcPr>
            <w:tcW w:w="3692" w:type="dxa"/>
            <w:tcMar>
              <w:top w:w="100" w:type="dxa"/>
              <w:left w:w="100" w:type="dxa"/>
              <w:bottom w:w="100" w:type="dxa"/>
              <w:right w:w="100" w:type="dxa"/>
            </w:tcMar>
          </w:tcPr>
          <w:p w14:paraId="19C559A9" w14:textId="77777777"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lastRenderedPageBreak/>
              <w:t>- Khoản 3 Kết luận số 205-</w:t>
            </w:r>
            <w:r w:rsidRPr="00CD4F27">
              <w:rPr>
                <w:rFonts w:ascii="Times New Roman" w:eastAsia="Times New Roman" w:hAnsi="Times New Roman" w:cs="Times New Roman"/>
                <w:color w:val="000000" w:themeColor="text1"/>
                <w:sz w:val="28"/>
                <w:szCs w:val="28"/>
                <w:lang w:val="vi-VN"/>
              </w:rPr>
              <w:lastRenderedPageBreak/>
              <w:t>KL/TW ngày 07/11/2025 của Ban Chấp hành Trung ương;</w:t>
            </w:r>
          </w:p>
          <w:p w14:paraId="03D115C0" w14:textId="5DAD661A"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Điều 37 Nghị định số 171/2025/NĐ-CP ngày 30/6/2025 của Chính phủ;</w:t>
            </w:r>
          </w:p>
          <w:p w14:paraId="51AAE0DE" w14:textId="36D71CFF"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Điều 42 Nghị định số 101/2017/NĐ-CP ngày 01/9/2017 của Chính phủ.</w:t>
            </w:r>
          </w:p>
        </w:tc>
        <w:tc>
          <w:tcPr>
            <w:tcW w:w="5812" w:type="dxa"/>
          </w:tcPr>
          <w:p w14:paraId="1B34EAA5" w14:textId="77777777" w:rsidR="008366B4" w:rsidRPr="00CD4F27" w:rsidRDefault="008366B4" w:rsidP="0010000B">
            <w:pPr>
              <w:spacing w:before="80" w:after="80" w:line="240" w:lineRule="auto"/>
              <w:ind w:firstLine="331"/>
              <w:jc w:val="both"/>
              <w:rPr>
                <w:rFonts w:ascii="Times New Roman" w:hAnsi="Times New Roman" w:cs="Times New Roman"/>
                <w:b/>
                <w:bCs/>
                <w:color w:val="000000" w:themeColor="text1"/>
                <w:sz w:val="28"/>
                <w:szCs w:val="28"/>
                <w:lang w:val="vi-VN"/>
              </w:rPr>
            </w:pPr>
            <w:r w:rsidRPr="00CD4F27">
              <w:rPr>
                <w:rFonts w:ascii="Times New Roman" w:hAnsi="Times New Roman" w:cs="Times New Roman"/>
                <w:b/>
                <w:bCs/>
                <w:color w:val="000000" w:themeColor="text1"/>
                <w:sz w:val="28"/>
                <w:szCs w:val="28"/>
                <w:lang w:val="vi-VN"/>
              </w:rPr>
              <w:lastRenderedPageBreak/>
              <w:t>Điều 10. Mức hỗ trợ đào tạo</w:t>
            </w:r>
          </w:p>
          <w:p w14:paraId="6FEC1FB6" w14:textId="77777777" w:rsidR="0015505D" w:rsidRPr="007F39DA" w:rsidRDefault="0015505D"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lastRenderedPageBreak/>
              <w:t>Cán bộ, công chức, viên chức đáp ứng quy định tại khoản 2 Điều 2 và Điều 9 Nghị quyết này được hưởng mức hỗ trợ theo trình độ, học hàm, học vị như sau:</w:t>
            </w:r>
          </w:p>
          <w:p w14:paraId="08766CF5" w14:textId="0F9F5E2A" w:rsidR="008366B4" w:rsidRPr="00CD4F27" w:rsidRDefault="008366B4" w:rsidP="0010000B">
            <w:pPr>
              <w:spacing w:before="80" w:after="80" w:line="240" w:lineRule="auto"/>
              <w:ind w:firstLine="331"/>
              <w:jc w:val="both"/>
              <w:rPr>
                <w:rFonts w:ascii="Times New Roman" w:hAnsi="Times New Roman" w:cs="Times New Roman"/>
                <w:color w:val="000000" w:themeColor="text1"/>
                <w:spacing w:val="-6"/>
                <w:sz w:val="28"/>
                <w:szCs w:val="28"/>
                <w:lang w:val="vi-VN"/>
              </w:rPr>
            </w:pPr>
            <w:r w:rsidRPr="00CD4F27">
              <w:rPr>
                <w:rFonts w:ascii="Times New Roman" w:hAnsi="Times New Roman" w:cs="Times New Roman"/>
                <w:color w:val="000000" w:themeColor="text1"/>
                <w:spacing w:val="-6"/>
                <w:sz w:val="28"/>
                <w:szCs w:val="28"/>
                <w:lang w:val="vi-VN"/>
              </w:rPr>
              <w:t>1. Người được cấp bằng đại học: 100 triệu đồng.</w:t>
            </w:r>
          </w:p>
          <w:p w14:paraId="423E9C4A" w14:textId="77777777" w:rsidR="008366B4" w:rsidRPr="00CD4F27" w:rsidRDefault="008366B4"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2. Người được cấp bằng thạc sĩ, chuyên khoa cấp I: 200 triệu đồng.</w:t>
            </w:r>
          </w:p>
          <w:p w14:paraId="76FE9FF1" w14:textId="77777777" w:rsidR="008366B4" w:rsidRPr="00CD4F27" w:rsidRDefault="008366B4"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3. Người được cấp bằng tiến sĩ, chuyên khoa cấp II, bác sĩ nội trú: 300 triệu đồng.</w:t>
            </w:r>
          </w:p>
          <w:p w14:paraId="214AD152" w14:textId="77777777" w:rsidR="008366B4" w:rsidRPr="00CD4F27" w:rsidRDefault="008366B4"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4. Người được công nhận chức danh phó giáo sư: 500 triệu đồng.</w:t>
            </w:r>
          </w:p>
          <w:p w14:paraId="38E71E34" w14:textId="4E4CF880" w:rsidR="00025AD7" w:rsidRPr="00CD4F27" w:rsidRDefault="008366B4"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5. Người được công nhận chức danh giáo sư: 700 triệu đồng.</w:t>
            </w:r>
          </w:p>
        </w:tc>
        <w:tc>
          <w:tcPr>
            <w:tcW w:w="5386" w:type="dxa"/>
            <w:tcMar>
              <w:top w:w="100" w:type="dxa"/>
              <w:left w:w="100" w:type="dxa"/>
              <w:bottom w:w="100" w:type="dxa"/>
              <w:right w:w="100" w:type="dxa"/>
            </w:tcMar>
          </w:tcPr>
          <w:p w14:paraId="157E936D" w14:textId="47B0D1E4"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lastRenderedPageBreak/>
              <w:t xml:space="preserve">Điều 10 Nghị quyết quy định rõ mức hỗ trợ </w:t>
            </w:r>
            <w:r w:rsidRPr="00CD4F27">
              <w:rPr>
                <w:rFonts w:ascii="Times New Roman" w:eastAsia="Times New Roman" w:hAnsi="Times New Roman" w:cs="Times New Roman"/>
                <w:color w:val="000000" w:themeColor="text1"/>
                <w:sz w:val="28"/>
                <w:szCs w:val="28"/>
                <w:lang w:val="vi-VN"/>
              </w:rPr>
              <w:lastRenderedPageBreak/>
              <w:t>đào tạo phù hợp theo kết quả đào tạo đầu ra của cán bộ, công chức, viên chức. Mức hỗ trợ đủ để tạo động lực khuyến khích cán bộ, công chức, viên chức học tập nâng cao trình độ chuyên môn, nghiệp vụ, đặc biệt trong những lĩnh vực mà tỉnh Đắk Lắk đang có nhu cầu nhân lực chất lượng cao.</w:t>
            </w:r>
          </w:p>
        </w:tc>
      </w:tr>
      <w:tr w:rsidR="00025AD7" w:rsidRPr="007F39DA" w14:paraId="4AE93343" w14:textId="77777777" w:rsidTr="000B3164">
        <w:trPr>
          <w:trHeight w:val="20"/>
        </w:trPr>
        <w:tc>
          <w:tcPr>
            <w:tcW w:w="3692" w:type="dxa"/>
            <w:tcMar>
              <w:top w:w="100" w:type="dxa"/>
              <w:left w:w="100" w:type="dxa"/>
              <w:bottom w:w="100" w:type="dxa"/>
              <w:right w:w="100" w:type="dxa"/>
            </w:tcMar>
          </w:tcPr>
          <w:p w14:paraId="3DA05339" w14:textId="28A57C4A"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lastRenderedPageBreak/>
              <w:t>- Khoản 2 Kết luận số 205-KL/TW ngày 07/11/2025 của Ban Chấp hành Trung ương;</w:t>
            </w:r>
          </w:p>
          <w:p w14:paraId="187E06DE" w14:textId="16062A07"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Điều 4 Luật Cán bộ, công chức số 80/2025/QH15;</w:t>
            </w:r>
          </w:p>
          <w:p w14:paraId="4DA4DA1A" w14:textId="42A3474D"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 Điều 3 và Điều 20 Nghị định 179/2024/NĐ-CP ngày 31/12/2024 của Chính phủ.</w:t>
            </w:r>
          </w:p>
        </w:tc>
        <w:tc>
          <w:tcPr>
            <w:tcW w:w="5812" w:type="dxa"/>
          </w:tcPr>
          <w:p w14:paraId="1182A62E" w14:textId="77777777" w:rsidR="00D63608" w:rsidRPr="00CD4F27" w:rsidRDefault="00D63608" w:rsidP="0010000B">
            <w:pPr>
              <w:spacing w:before="80" w:after="80" w:line="240" w:lineRule="auto"/>
              <w:ind w:firstLine="331"/>
              <w:jc w:val="both"/>
              <w:rPr>
                <w:rFonts w:ascii="Times New Roman" w:hAnsi="Times New Roman" w:cs="Times New Roman"/>
                <w:b/>
                <w:bCs/>
                <w:color w:val="000000" w:themeColor="text1"/>
                <w:sz w:val="28"/>
                <w:szCs w:val="28"/>
                <w:lang w:val="vi-VN"/>
              </w:rPr>
            </w:pPr>
            <w:r w:rsidRPr="00CD4F27">
              <w:rPr>
                <w:rFonts w:ascii="Times New Roman" w:hAnsi="Times New Roman" w:cs="Times New Roman"/>
                <w:b/>
                <w:bCs/>
                <w:color w:val="000000" w:themeColor="text1"/>
                <w:sz w:val="28"/>
                <w:szCs w:val="28"/>
                <w:lang w:val="vi-VN"/>
              </w:rPr>
              <w:t>Điều 11. Nguồn kinh phí thực hiện</w:t>
            </w:r>
          </w:p>
          <w:p w14:paraId="5C2DFF5C" w14:textId="77777777" w:rsidR="00D63608" w:rsidRPr="00CD4F27" w:rsidRDefault="00D63608"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1. Ngân sách nhà nước theo phân cấp ngân sách hiện hành.</w:t>
            </w:r>
          </w:p>
          <w:p w14:paraId="6BAA65A7" w14:textId="77777777" w:rsidR="00D63608" w:rsidRPr="00CD4F27" w:rsidRDefault="00D63608"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 xml:space="preserve">2. Kinh phí được bố trí trong dự toán ngân sách hàng năm của cơ quan, đơn vị có đối tượng thu hút, hỗ trợ đào tạo. </w:t>
            </w:r>
            <w:bookmarkStart w:id="7" w:name="_Hlk208784672"/>
            <w:r w:rsidRPr="00CD4F27">
              <w:rPr>
                <w:rFonts w:ascii="Times New Roman" w:hAnsi="Times New Roman" w:cs="Times New Roman"/>
                <w:color w:val="000000" w:themeColor="text1"/>
                <w:sz w:val="28"/>
                <w:szCs w:val="28"/>
                <w:lang w:val="vi-VN"/>
              </w:rPr>
              <w:t xml:space="preserve">Đối với các đơn vị sự nghiệp công lập tự đảm bảo chi thường xuyên và chi đầu tư, </w:t>
            </w:r>
            <w:r w:rsidRPr="00CD4F27">
              <w:rPr>
                <w:rFonts w:ascii="Times New Roman" w:hAnsi="Times New Roman" w:cs="Times New Roman"/>
                <w:color w:val="000000" w:themeColor="text1"/>
                <w:sz w:val="28"/>
                <w:szCs w:val="28"/>
                <w:lang w:val="vi-VN"/>
              </w:rPr>
              <w:lastRenderedPageBreak/>
              <w:t>đơn vị sự nghiệp công lập tự bảo đảm chi thường xuyên, kinh phí do đơn vị tự bảo đảm.</w:t>
            </w:r>
          </w:p>
          <w:bookmarkEnd w:id="7"/>
          <w:p w14:paraId="030AB3D4" w14:textId="77777777" w:rsidR="00D63608" w:rsidRPr="00CD4F27" w:rsidRDefault="00D63608"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 xml:space="preserve">3. </w:t>
            </w:r>
            <w:bookmarkStart w:id="8" w:name="_Hlk208784691"/>
            <w:r w:rsidRPr="00CD4F27">
              <w:rPr>
                <w:rFonts w:ascii="Times New Roman" w:hAnsi="Times New Roman" w:cs="Times New Roman"/>
                <w:color w:val="000000" w:themeColor="text1"/>
                <w:sz w:val="28"/>
                <w:szCs w:val="28"/>
                <w:lang w:val="vi-VN"/>
              </w:rPr>
              <w:t xml:space="preserve">Các cơ quan, đơn vị, tổ chức quy định tại khoản 3 Điều 2 Nghị quyết này được </w:t>
            </w:r>
            <w:bookmarkStart w:id="9" w:name="_Hlk208784298"/>
            <w:r w:rsidRPr="00CD4F27">
              <w:rPr>
                <w:rFonts w:ascii="Times New Roman" w:hAnsi="Times New Roman" w:cs="Times New Roman"/>
                <w:color w:val="000000" w:themeColor="text1"/>
                <w:sz w:val="28"/>
                <w:szCs w:val="28"/>
                <w:lang w:val="vi-VN"/>
              </w:rPr>
              <w:t>huy động nguồn lực theo quy định của pháp luật để thực hiện chính sách thu hút, hỗ trợ đào tạo phát triển nguồn nhân lực chất lượng cao của tỉnh Đắk Lắk.</w:t>
            </w:r>
          </w:p>
          <w:bookmarkEnd w:id="8"/>
          <w:bookmarkEnd w:id="9"/>
          <w:p w14:paraId="5491EB03" w14:textId="2EA92CD8" w:rsidR="00025AD7" w:rsidRPr="007F39DA" w:rsidRDefault="00D63608" w:rsidP="0010000B">
            <w:pPr>
              <w:spacing w:before="80" w:after="80" w:line="240" w:lineRule="auto"/>
              <w:ind w:firstLine="331"/>
              <w:jc w:val="both"/>
              <w:rPr>
                <w:rFonts w:ascii="Times New Roman" w:hAnsi="Times New Roman" w:cs="Times New Roman"/>
                <w:color w:val="000000" w:themeColor="text1"/>
                <w:spacing w:val="-4"/>
                <w:sz w:val="28"/>
                <w:szCs w:val="28"/>
                <w:lang w:val="vi-VN"/>
              </w:rPr>
            </w:pPr>
            <w:r w:rsidRPr="00CD4F27">
              <w:rPr>
                <w:rFonts w:ascii="Times New Roman" w:hAnsi="Times New Roman" w:cs="Times New Roman"/>
                <w:color w:val="000000" w:themeColor="text1"/>
                <w:spacing w:val="-4"/>
                <w:sz w:val="28"/>
                <w:szCs w:val="28"/>
                <w:lang w:val="vi-VN"/>
              </w:rPr>
              <w:t xml:space="preserve">4. Việc quản lý, sử dụng và quyết toán kinh phí thực hiện các chính sách quy định tại Nghị quyết này theo quy định pháp luật về quản lý Ngân sách Nhà nước. </w:t>
            </w:r>
          </w:p>
        </w:tc>
        <w:tc>
          <w:tcPr>
            <w:tcW w:w="5386" w:type="dxa"/>
            <w:tcMar>
              <w:top w:w="100" w:type="dxa"/>
              <w:left w:w="100" w:type="dxa"/>
              <w:bottom w:w="100" w:type="dxa"/>
              <w:right w:w="100" w:type="dxa"/>
            </w:tcMar>
          </w:tcPr>
          <w:p w14:paraId="4077B1B5" w14:textId="12445F25"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lastRenderedPageBreak/>
              <w:t xml:space="preserve">Căn cứ các quy định Luật Ngân sách nhà nước và các văn bản hướng dẫn thi hành, Điều 20 Nghị định số 179/2024/NĐ-CP ngày 31/12/2024 của Chính phủ. Điều 11 Nghị quyết quy định cụ thể kinh phí thực hiện chính sách thu hút, xác định rõ nguồn chi (ngân sách tỉnh, dự toán đơn vị, nguồn tự đảm bảo của đơn vị sự nghiệp) giúp các cơ quan, đơn vị chủ động trong việc lập kế hoạch thu hút và sử </w:t>
            </w:r>
            <w:r w:rsidRPr="00CD4F27">
              <w:rPr>
                <w:rFonts w:ascii="Times New Roman" w:eastAsia="Times New Roman" w:hAnsi="Times New Roman" w:cs="Times New Roman"/>
                <w:color w:val="000000" w:themeColor="text1"/>
                <w:sz w:val="28"/>
                <w:szCs w:val="28"/>
                <w:lang w:val="vi-VN"/>
              </w:rPr>
              <w:lastRenderedPageBreak/>
              <w:t xml:space="preserve">dụng nhân lực. Đồng thời, quy định cơ chế cho phép các cơ quan, đơn vị huy động các nguồn lực hợp pháp khác theo quy định của pháp luật để thực hiện </w:t>
            </w:r>
            <w:r w:rsidR="00667833" w:rsidRPr="00CD4F27">
              <w:rPr>
                <w:rFonts w:ascii="Times New Roman" w:eastAsia="Times New Roman" w:hAnsi="Times New Roman" w:cs="Times New Roman"/>
                <w:color w:val="000000" w:themeColor="text1"/>
                <w:sz w:val="28"/>
                <w:szCs w:val="28"/>
                <w:lang w:val="vi-VN"/>
              </w:rPr>
              <w:t>chính sách thu hút, hỗ trợ đào tạo phát triển nguồn nhân lực chất lượng cao</w:t>
            </w:r>
            <w:r w:rsidRPr="00CD4F27">
              <w:rPr>
                <w:rFonts w:ascii="Times New Roman" w:eastAsia="Times New Roman" w:hAnsi="Times New Roman" w:cs="Times New Roman"/>
                <w:color w:val="000000" w:themeColor="text1"/>
                <w:sz w:val="28"/>
                <w:szCs w:val="28"/>
                <w:lang w:val="vi-VN"/>
              </w:rPr>
              <w:t>. Việc quản lý, sử dụng và quyết toán kinh phí thực hiện theo quy định pháp luật về quản lý ngân sách Nhà nước.</w:t>
            </w:r>
          </w:p>
        </w:tc>
      </w:tr>
      <w:tr w:rsidR="00025AD7" w:rsidRPr="007F39DA" w14:paraId="00B07116" w14:textId="77777777" w:rsidTr="000B3164">
        <w:trPr>
          <w:trHeight w:val="20"/>
        </w:trPr>
        <w:tc>
          <w:tcPr>
            <w:tcW w:w="3692" w:type="dxa"/>
            <w:tcMar>
              <w:top w:w="100" w:type="dxa"/>
              <w:left w:w="100" w:type="dxa"/>
              <w:bottom w:w="100" w:type="dxa"/>
              <w:right w:w="100" w:type="dxa"/>
            </w:tcMar>
          </w:tcPr>
          <w:p w14:paraId="5517EB76" w14:textId="606C607D"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lastRenderedPageBreak/>
              <w:t>Điều 21 Nghị định 179/2024/NĐ-CP ngày 31/12/2024 của Chính phủ.</w:t>
            </w:r>
          </w:p>
        </w:tc>
        <w:tc>
          <w:tcPr>
            <w:tcW w:w="5812" w:type="dxa"/>
          </w:tcPr>
          <w:p w14:paraId="33AF0E1F" w14:textId="77777777" w:rsidR="00D63608" w:rsidRPr="00CD4F27" w:rsidRDefault="00D63608" w:rsidP="0010000B">
            <w:pPr>
              <w:spacing w:before="80" w:after="80" w:line="240" w:lineRule="auto"/>
              <w:ind w:firstLine="331"/>
              <w:jc w:val="both"/>
              <w:rPr>
                <w:rFonts w:ascii="Times New Roman" w:hAnsi="Times New Roman" w:cs="Times New Roman"/>
                <w:b/>
                <w:bCs/>
                <w:color w:val="000000" w:themeColor="text1"/>
                <w:sz w:val="28"/>
                <w:szCs w:val="28"/>
                <w:lang w:val="vi-VN"/>
              </w:rPr>
            </w:pPr>
            <w:r w:rsidRPr="00CD4F27">
              <w:rPr>
                <w:rFonts w:ascii="Times New Roman" w:hAnsi="Times New Roman" w:cs="Times New Roman"/>
                <w:b/>
                <w:bCs/>
                <w:color w:val="000000" w:themeColor="text1"/>
                <w:sz w:val="28"/>
                <w:szCs w:val="28"/>
                <w:lang w:val="vi-VN"/>
              </w:rPr>
              <w:t>Điều 12. Tổ chức thực hiện</w:t>
            </w:r>
          </w:p>
          <w:p w14:paraId="5DBD85AA" w14:textId="77777777" w:rsidR="00D63608" w:rsidRPr="00CD4F27" w:rsidRDefault="00D63608" w:rsidP="0010000B">
            <w:pPr>
              <w:spacing w:before="80" w:after="80" w:line="240" w:lineRule="auto"/>
              <w:ind w:firstLine="331"/>
              <w:jc w:val="both"/>
              <w:rPr>
                <w:rFonts w:ascii="Times New Roman" w:hAnsi="Times New Roman" w:cs="Times New Roman"/>
                <w:color w:val="000000" w:themeColor="text1"/>
                <w:sz w:val="28"/>
                <w:szCs w:val="28"/>
                <w:lang w:val="vi-VN"/>
              </w:rPr>
            </w:pPr>
            <w:r w:rsidRPr="00CD4F27">
              <w:rPr>
                <w:rFonts w:ascii="Times New Roman" w:hAnsi="Times New Roman" w:cs="Times New Roman"/>
                <w:color w:val="000000" w:themeColor="text1"/>
                <w:sz w:val="28"/>
                <w:szCs w:val="28"/>
                <w:lang w:val="vi-VN"/>
              </w:rPr>
              <w:t>1. Giao Ủy ban nhân dân tỉnh triển khai thực hiện Nghị quyết này; tổ chức sơ kết, đánh giá và báo cáo kết quả tại các kỳ họp của Hội đồng nhân dân tỉnh.</w:t>
            </w:r>
          </w:p>
          <w:p w14:paraId="5F8B6D8D" w14:textId="004B17F8" w:rsidR="00025AD7" w:rsidRPr="00CD4F27" w:rsidRDefault="00D63608" w:rsidP="0010000B">
            <w:pPr>
              <w:spacing w:before="80" w:after="80" w:line="240" w:lineRule="auto"/>
              <w:ind w:firstLine="331"/>
              <w:jc w:val="both"/>
              <w:rPr>
                <w:rFonts w:ascii="Times New Roman" w:hAnsi="Times New Roman" w:cs="Times New Roman"/>
                <w:color w:val="000000" w:themeColor="text1"/>
                <w:sz w:val="28"/>
                <w:szCs w:val="28"/>
                <w:lang w:val="nb-NO"/>
              </w:rPr>
            </w:pPr>
            <w:r w:rsidRPr="00CD4F27">
              <w:rPr>
                <w:rFonts w:ascii="Times New Roman" w:hAnsi="Times New Roman" w:cs="Times New Roman"/>
                <w:color w:val="000000" w:themeColor="text1"/>
                <w:sz w:val="28"/>
                <w:szCs w:val="28"/>
                <w:lang w:val="vi-VN"/>
              </w:rPr>
              <w:t>2. Giao Thường trực Hội đồng nhân dân tỉnh, các Ban của Hội đồng nhân dân tỉnh, Tổ đại biểu Hội đồng nhân dân tỉnh và đại biểu Hội đồng nhân dân tỉnh giám sát việc triển khai, thực hiện Nghị quyết này.</w:t>
            </w:r>
          </w:p>
        </w:tc>
        <w:tc>
          <w:tcPr>
            <w:tcW w:w="5386" w:type="dxa"/>
            <w:tcMar>
              <w:top w:w="100" w:type="dxa"/>
              <w:left w:w="100" w:type="dxa"/>
              <w:bottom w:w="100" w:type="dxa"/>
              <w:right w:w="100" w:type="dxa"/>
            </w:tcMar>
          </w:tcPr>
          <w:p w14:paraId="4B511571" w14:textId="35F95BBC"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r w:rsidRPr="00CD4F27">
              <w:rPr>
                <w:rFonts w:ascii="Times New Roman" w:eastAsia="Times New Roman" w:hAnsi="Times New Roman" w:cs="Times New Roman"/>
                <w:color w:val="000000" w:themeColor="text1"/>
                <w:sz w:val="28"/>
                <w:szCs w:val="28"/>
                <w:lang w:val="vi-VN"/>
              </w:rPr>
              <w:t>Điều 1</w:t>
            </w:r>
            <w:r w:rsidR="00D63608" w:rsidRPr="00CD4F27">
              <w:rPr>
                <w:rFonts w:ascii="Times New Roman" w:eastAsia="Times New Roman" w:hAnsi="Times New Roman" w:cs="Times New Roman"/>
                <w:color w:val="000000" w:themeColor="text1"/>
                <w:sz w:val="28"/>
                <w:szCs w:val="28"/>
                <w:lang w:val="nb-NO"/>
              </w:rPr>
              <w:t>2</w:t>
            </w:r>
            <w:r w:rsidRPr="00CD4F27">
              <w:rPr>
                <w:rFonts w:ascii="Times New Roman" w:eastAsia="Times New Roman" w:hAnsi="Times New Roman" w:cs="Times New Roman"/>
                <w:color w:val="000000" w:themeColor="text1"/>
                <w:sz w:val="28"/>
                <w:szCs w:val="28"/>
                <w:lang w:val="vi-VN"/>
              </w:rPr>
              <w:t xml:space="preserve"> Nghị quyết quy định việc tổ chức thực hiện, phân định rõ trách nhiệm của từng cơ quan, đơn vị, địa phương trong việc triển khai thực hiện chính sách, nhằm đảm bảo Nghị quyết được thực hiện nghiêm túc, thống nhất, đồng bộ và hiệu quả.</w:t>
            </w:r>
          </w:p>
        </w:tc>
      </w:tr>
      <w:tr w:rsidR="00025AD7" w:rsidRPr="007F39DA" w14:paraId="300E5CF8" w14:textId="77777777" w:rsidTr="000B3164">
        <w:trPr>
          <w:trHeight w:val="20"/>
        </w:trPr>
        <w:tc>
          <w:tcPr>
            <w:tcW w:w="3692" w:type="dxa"/>
            <w:tcMar>
              <w:top w:w="100" w:type="dxa"/>
              <w:left w:w="100" w:type="dxa"/>
              <w:bottom w:w="100" w:type="dxa"/>
              <w:right w:w="100" w:type="dxa"/>
            </w:tcMar>
          </w:tcPr>
          <w:p w14:paraId="377F7D73" w14:textId="77777777"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vi-VN"/>
              </w:rPr>
            </w:pPr>
          </w:p>
        </w:tc>
        <w:tc>
          <w:tcPr>
            <w:tcW w:w="5812" w:type="dxa"/>
          </w:tcPr>
          <w:p w14:paraId="0932A162" w14:textId="77777777" w:rsidR="00D63608" w:rsidRPr="00CD4F27" w:rsidRDefault="00D63608" w:rsidP="0010000B">
            <w:pPr>
              <w:spacing w:before="80" w:after="80" w:line="240" w:lineRule="auto"/>
              <w:ind w:firstLine="331"/>
              <w:jc w:val="both"/>
              <w:rPr>
                <w:rFonts w:ascii="Times New Roman" w:hAnsi="Times New Roman" w:cs="Times New Roman"/>
                <w:b/>
                <w:color w:val="000000" w:themeColor="text1"/>
                <w:sz w:val="28"/>
                <w:szCs w:val="28"/>
                <w:lang w:val="nb-NO"/>
              </w:rPr>
            </w:pPr>
            <w:r w:rsidRPr="00CD4F27">
              <w:rPr>
                <w:rFonts w:ascii="Times New Roman" w:hAnsi="Times New Roman"/>
                <w:b/>
                <w:color w:val="000000" w:themeColor="text1"/>
                <w:sz w:val="28"/>
                <w:szCs w:val="28"/>
                <w:lang w:val="nb-NO"/>
              </w:rPr>
              <w:t>Điều 13. Hiệu lực thi hành</w:t>
            </w:r>
          </w:p>
          <w:p w14:paraId="7665EEAF" w14:textId="77777777" w:rsidR="00D63608" w:rsidRPr="00CD4F27" w:rsidRDefault="00D63608" w:rsidP="0010000B">
            <w:pPr>
              <w:spacing w:before="80" w:after="80" w:line="240" w:lineRule="auto"/>
              <w:ind w:firstLine="331"/>
              <w:jc w:val="both"/>
              <w:rPr>
                <w:rFonts w:ascii="Times New Roman" w:hAnsi="Times New Roman" w:cs="Times New Roman"/>
                <w:color w:val="000000" w:themeColor="text1"/>
                <w:sz w:val="28"/>
                <w:szCs w:val="28"/>
                <w:lang w:val="nb-NO"/>
              </w:rPr>
            </w:pPr>
            <w:r w:rsidRPr="00CD4F27">
              <w:rPr>
                <w:rFonts w:ascii="Times New Roman" w:hAnsi="Times New Roman" w:cs="Times New Roman"/>
                <w:color w:val="000000" w:themeColor="text1"/>
                <w:sz w:val="28"/>
                <w:szCs w:val="28"/>
                <w:lang w:val="nb-NO"/>
              </w:rPr>
              <w:t>1. Nghị quyết này có hiệu lực thi hành kể từ ngày ... tháng ... năm 2026.</w:t>
            </w:r>
          </w:p>
          <w:p w14:paraId="4CB14C69" w14:textId="23A95FB0" w:rsidR="00025AD7" w:rsidRPr="00CD4F27" w:rsidRDefault="00D63608" w:rsidP="0010000B">
            <w:pPr>
              <w:spacing w:before="80" w:after="80" w:line="240" w:lineRule="auto"/>
              <w:ind w:firstLine="331"/>
              <w:jc w:val="both"/>
              <w:rPr>
                <w:rFonts w:ascii="Times New Roman" w:hAnsi="Times New Roman" w:cs="Times New Roman"/>
                <w:color w:val="000000" w:themeColor="text1"/>
                <w:sz w:val="28"/>
                <w:szCs w:val="28"/>
                <w:lang w:val="nb-NO"/>
              </w:rPr>
            </w:pPr>
            <w:r w:rsidRPr="00CD4F27">
              <w:rPr>
                <w:rFonts w:ascii="Times New Roman" w:hAnsi="Times New Roman" w:cs="Times New Roman"/>
                <w:color w:val="000000" w:themeColor="text1"/>
                <w:sz w:val="28"/>
                <w:szCs w:val="28"/>
                <w:lang w:val="nb-NO"/>
              </w:rPr>
              <w:t>2. Trường hợp các văn bản viện dẫn áp dụng tại Nghị quyết này được sửa đổi, bổ sung hoặc thay thế thì thực hiện theo các văn bản được sửa đổi, bổ sung hoặc thay thế đó.</w:t>
            </w:r>
          </w:p>
        </w:tc>
        <w:tc>
          <w:tcPr>
            <w:tcW w:w="5386" w:type="dxa"/>
            <w:tcMar>
              <w:top w:w="100" w:type="dxa"/>
              <w:left w:w="100" w:type="dxa"/>
              <w:bottom w:w="100" w:type="dxa"/>
              <w:right w:w="100" w:type="dxa"/>
            </w:tcMar>
          </w:tcPr>
          <w:p w14:paraId="5FB7FA68" w14:textId="6C78E108" w:rsidR="00025AD7" w:rsidRPr="00CD4F27" w:rsidRDefault="00025AD7"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8"/>
                <w:szCs w:val="28"/>
                <w:lang w:val="nb-NO"/>
              </w:rPr>
            </w:pPr>
            <w:r w:rsidRPr="00CD4F27">
              <w:rPr>
                <w:rFonts w:ascii="Times New Roman" w:eastAsia="Times New Roman" w:hAnsi="Times New Roman" w:cs="Times New Roman"/>
                <w:color w:val="000000" w:themeColor="text1"/>
                <w:sz w:val="28"/>
                <w:szCs w:val="28"/>
                <w:highlight w:val="white"/>
                <w:lang w:val="nb-NO"/>
              </w:rPr>
              <w:t>Điều 1</w:t>
            </w:r>
            <w:r w:rsidR="00D63608" w:rsidRPr="00CD4F27">
              <w:rPr>
                <w:rFonts w:ascii="Times New Roman" w:eastAsia="Times New Roman" w:hAnsi="Times New Roman" w:cs="Times New Roman"/>
                <w:color w:val="000000" w:themeColor="text1"/>
                <w:sz w:val="28"/>
                <w:szCs w:val="28"/>
                <w:highlight w:val="white"/>
                <w:lang w:val="nb-NO"/>
              </w:rPr>
              <w:t>3</w:t>
            </w:r>
            <w:r w:rsidRPr="00CD4F27">
              <w:rPr>
                <w:rFonts w:ascii="Times New Roman" w:eastAsia="Times New Roman" w:hAnsi="Times New Roman" w:cs="Times New Roman"/>
                <w:color w:val="000000" w:themeColor="text1"/>
                <w:sz w:val="28"/>
                <w:szCs w:val="28"/>
                <w:highlight w:val="white"/>
                <w:lang w:val="nb-NO"/>
              </w:rPr>
              <w:t xml:space="preserve"> Nghị quyết quy định cụ thể</w:t>
            </w:r>
            <w:r w:rsidRPr="00CD4F27">
              <w:rPr>
                <w:rFonts w:ascii="Times New Roman" w:eastAsia="Times New Roman" w:hAnsi="Times New Roman" w:cs="Times New Roman"/>
                <w:color w:val="000000" w:themeColor="text1"/>
                <w:sz w:val="28"/>
                <w:szCs w:val="28"/>
                <w:lang w:val="nb-NO"/>
              </w:rPr>
              <w:t xml:space="preserve"> </w:t>
            </w:r>
            <w:r w:rsidRPr="00CD4F27">
              <w:rPr>
                <w:rFonts w:ascii="Times New Roman" w:eastAsia="Times New Roman" w:hAnsi="Times New Roman" w:cs="Times New Roman"/>
                <w:color w:val="000000" w:themeColor="text1"/>
                <w:sz w:val="28"/>
                <w:szCs w:val="28"/>
                <w:highlight w:val="white"/>
                <w:lang w:val="nb-NO"/>
              </w:rPr>
              <w:t>hiệu lực thi hành của văn bản.</w:t>
            </w:r>
          </w:p>
        </w:tc>
      </w:tr>
    </w:tbl>
    <w:p w14:paraId="0E448BF4" w14:textId="77777777" w:rsidR="001675FE" w:rsidRPr="00CD4F27" w:rsidRDefault="001675FE">
      <w:pPr>
        <w:widowControl w:val="0"/>
        <w:pBdr>
          <w:top w:val="nil"/>
          <w:left w:val="nil"/>
          <w:bottom w:val="nil"/>
          <w:right w:val="nil"/>
          <w:between w:val="nil"/>
        </w:pBdr>
        <w:rPr>
          <w:color w:val="000000" w:themeColor="text1"/>
          <w:lang w:val="nb-NO"/>
        </w:rPr>
      </w:pPr>
    </w:p>
    <w:p w14:paraId="06C18BB1" w14:textId="77777777" w:rsidR="001675FE" w:rsidRPr="00CD4F27" w:rsidRDefault="001675FE">
      <w:pPr>
        <w:widowControl w:val="0"/>
        <w:pBdr>
          <w:top w:val="nil"/>
          <w:left w:val="nil"/>
          <w:bottom w:val="nil"/>
          <w:right w:val="nil"/>
          <w:between w:val="nil"/>
        </w:pBdr>
        <w:rPr>
          <w:color w:val="000000" w:themeColor="text1"/>
          <w:lang w:val="nb-NO"/>
        </w:rPr>
      </w:pPr>
    </w:p>
    <w:sectPr w:rsidR="001675FE" w:rsidRPr="00CD4F27" w:rsidSect="005E5BC7">
      <w:type w:val="continuous"/>
      <w:pgSz w:w="16840" w:h="11900" w:orient="landscape"/>
      <w:pgMar w:top="1580" w:right="1134" w:bottom="1134" w:left="1701" w:header="624" w:footer="397" w:gutter="0"/>
      <w:cols w:space="720" w:equalWidth="0">
        <w:col w:w="14572" w:space="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E27C6" w14:textId="77777777" w:rsidR="00D01586" w:rsidRDefault="00D01586" w:rsidP="005E5BC7">
      <w:pPr>
        <w:spacing w:line="240" w:lineRule="auto"/>
      </w:pPr>
      <w:r>
        <w:separator/>
      </w:r>
    </w:p>
  </w:endnote>
  <w:endnote w:type="continuationSeparator" w:id="0">
    <w:p w14:paraId="2DC22022" w14:textId="77777777" w:rsidR="00D01586" w:rsidRDefault="00D01586" w:rsidP="005E5B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1C01B98-10F8-4A69-9AA6-44F58FAB6020}"/>
  </w:font>
  <w:font w:name="Times New Roman Bold">
    <w:altName w:val="Times New Roman"/>
    <w:panose1 w:val="00000000000000000000"/>
    <w:charset w:val="00"/>
    <w:family w:val="roman"/>
    <w:notTrueType/>
    <w:pitch w:val="default"/>
  </w:font>
  <w:font w:name="Calibri">
    <w:panose1 w:val="020F0502020204030204"/>
    <w:charset w:val="A3"/>
    <w:family w:val="swiss"/>
    <w:pitch w:val="variable"/>
    <w:sig w:usb0="E4002EFF" w:usb1="C200247B" w:usb2="00000009" w:usb3="00000000" w:csb0="000001FF" w:csb1="00000000"/>
    <w:embedRegular r:id="rId2" w:fontKey="{12553D0F-F796-43B9-A379-6266F3152185}"/>
  </w:font>
  <w:font w:name="Cambria">
    <w:panose1 w:val="02040503050406030204"/>
    <w:charset w:val="A3"/>
    <w:family w:val="roman"/>
    <w:pitch w:val="variable"/>
    <w:sig w:usb0="E00006FF" w:usb1="420024FF" w:usb2="02000000" w:usb3="00000000" w:csb0="0000019F" w:csb1="00000000"/>
    <w:embedRegular r:id="rId3" w:fontKey="{A1B87878-4F44-4FC9-84EB-D2AAEFB4A7B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F5459" w14:textId="77777777" w:rsidR="00D01586" w:rsidRDefault="00D01586" w:rsidP="005E5BC7">
      <w:pPr>
        <w:spacing w:line="240" w:lineRule="auto"/>
      </w:pPr>
      <w:r>
        <w:separator/>
      </w:r>
    </w:p>
  </w:footnote>
  <w:footnote w:type="continuationSeparator" w:id="0">
    <w:p w14:paraId="4E3E5EC8" w14:textId="77777777" w:rsidR="00D01586" w:rsidRDefault="00D01586" w:rsidP="005E5B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9877657"/>
      <w:docPartObj>
        <w:docPartGallery w:val="Page Numbers (Top of Page)"/>
        <w:docPartUnique/>
      </w:docPartObj>
    </w:sdtPr>
    <w:sdtEndPr>
      <w:rPr>
        <w:noProof/>
      </w:rPr>
    </w:sdtEndPr>
    <w:sdtContent>
      <w:p w14:paraId="5936A6D8" w14:textId="73208A45" w:rsidR="005E5BC7" w:rsidRDefault="005E5BC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DEEFB67" w14:textId="77777777" w:rsidR="005E5BC7" w:rsidRDefault="005E5BC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5FE"/>
    <w:rsid w:val="00022AF8"/>
    <w:rsid w:val="00025AD7"/>
    <w:rsid w:val="00033326"/>
    <w:rsid w:val="00036231"/>
    <w:rsid w:val="00040B97"/>
    <w:rsid w:val="00041831"/>
    <w:rsid w:val="00042434"/>
    <w:rsid w:val="000437C7"/>
    <w:rsid w:val="00045F37"/>
    <w:rsid w:val="0005392B"/>
    <w:rsid w:val="00067230"/>
    <w:rsid w:val="00074A76"/>
    <w:rsid w:val="0008585F"/>
    <w:rsid w:val="00086109"/>
    <w:rsid w:val="000B3164"/>
    <w:rsid w:val="000E2AAE"/>
    <w:rsid w:val="000E3F64"/>
    <w:rsid w:val="000E692D"/>
    <w:rsid w:val="000E6DD4"/>
    <w:rsid w:val="000F6B9E"/>
    <w:rsid w:val="0010000B"/>
    <w:rsid w:val="00100033"/>
    <w:rsid w:val="001009DF"/>
    <w:rsid w:val="00131289"/>
    <w:rsid w:val="00132BE4"/>
    <w:rsid w:val="00150122"/>
    <w:rsid w:val="0015505D"/>
    <w:rsid w:val="00157021"/>
    <w:rsid w:val="001675FE"/>
    <w:rsid w:val="00195660"/>
    <w:rsid w:val="001A0858"/>
    <w:rsid w:val="001A1250"/>
    <w:rsid w:val="001A19E2"/>
    <w:rsid w:val="001A4E52"/>
    <w:rsid w:val="001B3FAF"/>
    <w:rsid w:val="001D2BD5"/>
    <w:rsid w:val="001F602B"/>
    <w:rsid w:val="00200CDF"/>
    <w:rsid w:val="00225B74"/>
    <w:rsid w:val="002309E8"/>
    <w:rsid w:val="00247B21"/>
    <w:rsid w:val="00265257"/>
    <w:rsid w:val="00274D5F"/>
    <w:rsid w:val="0028089A"/>
    <w:rsid w:val="00281FF9"/>
    <w:rsid w:val="00297358"/>
    <w:rsid w:val="002A522D"/>
    <w:rsid w:val="002C0CF4"/>
    <w:rsid w:val="002C2471"/>
    <w:rsid w:val="002E0461"/>
    <w:rsid w:val="002E057C"/>
    <w:rsid w:val="002E36EF"/>
    <w:rsid w:val="002F5BF9"/>
    <w:rsid w:val="00304614"/>
    <w:rsid w:val="003102E6"/>
    <w:rsid w:val="00316098"/>
    <w:rsid w:val="003161D9"/>
    <w:rsid w:val="00324FCF"/>
    <w:rsid w:val="003311D0"/>
    <w:rsid w:val="00340551"/>
    <w:rsid w:val="00340EE4"/>
    <w:rsid w:val="00350B05"/>
    <w:rsid w:val="00366DDB"/>
    <w:rsid w:val="003923B9"/>
    <w:rsid w:val="003955EC"/>
    <w:rsid w:val="003B2C2F"/>
    <w:rsid w:val="003D314E"/>
    <w:rsid w:val="003E0DF5"/>
    <w:rsid w:val="003F57C0"/>
    <w:rsid w:val="0041072B"/>
    <w:rsid w:val="00412F1C"/>
    <w:rsid w:val="00414620"/>
    <w:rsid w:val="00421077"/>
    <w:rsid w:val="00425E8D"/>
    <w:rsid w:val="00444E8A"/>
    <w:rsid w:val="00444FD2"/>
    <w:rsid w:val="00444FF8"/>
    <w:rsid w:val="00457044"/>
    <w:rsid w:val="0046485A"/>
    <w:rsid w:val="004654B1"/>
    <w:rsid w:val="004917F5"/>
    <w:rsid w:val="004A7728"/>
    <w:rsid w:val="004B07D4"/>
    <w:rsid w:val="004B4356"/>
    <w:rsid w:val="004D0454"/>
    <w:rsid w:val="004D3E14"/>
    <w:rsid w:val="004D6B58"/>
    <w:rsid w:val="004F3EFF"/>
    <w:rsid w:val="0050700F"/>
    <w:rsid w:val="005171CA"/>
    <w:rsid w:val="005333D3"/>
    <w:rsid w:val="005361EF"/>
    <w:rsid w:val="0055039A"/>
    <w:rsid w:val="005635F7"/>
    <w:rsid w:val="00571730"/>
    <w:rsid w:val="00573111"/>
    <w:rsid w:val="00582708"/>
    <w:rsid w:val="00591235"/>
    <w:rsid w:val="005A7095"/>
    <w:rsid w:val="005B1B09"/>
    <w:rsid w:val="005C1AF6"/>
    <w:rsid w:val="005D2F6C"/>
    <w:rsid w:val="005D3D9C"/>
    <w:rsid w:val="005E5BC7"/>
    <w:rsid w:val="005E7B21"/>
    <w:rsid w:val="005F3954"/>
    <w:rsid w:val="00604A0E"/>
    <w:rsid w:val="0061514D"/>
    <w:rsid w:val="006424BF"/>
    <w:rsid w:val="0065575D"/>
    <w:rsid w:val="00656AEB"/>
    <w:rsid w:val="00662192"/>
    <w:rsid w:val="00667833"/>
    <w:rsid w:val="00683AEA"/>
    <w:rsid w:val="006A53E8"/>
    <w:rsid w:val="006B0B77"/>
    <w:rsid w:val="006B6582"/>
    <w:rsid w:val="006C0746"/>
    <w:rsid w:val="006C3941"/>
    <w:rsid w:val="006F1445"/>
    <w:rsid w:val="006F785C"/>
    <w:rsid w:val="00701159"/>
    <w:rsid w:val="00714FD8"/>
    <w:rsid w:val="0075249E"/>
    <w:rsid w:val="00761A71"/>
    <w:rsid w:val="007B6DAA"/>
    <w:rsid w:val="007C1CCE"/>
    <w:rsid w:val="007D0CEF"/>
    <w:rsid w:val="007E3048"/>
    <w:rsid w:val="007E5AD9"/>
    <w:rsid w:val="007E5CD7"/>
    <w:rsid w:val="007E6993"/>
    <w:rsid w:val="007F39DA"/>
    <w:rsid w:val="007F4E12"/>
    <w:rsid w:val="007F5C70"/>
    <w:rsid w:val="00804956"/>
    <w:rsid w:val="00811BAB"/>
    <w:rsid w:val="00827F70"/>
    <w:rsid w:val="0083646C"/>
    <w:rsid w:val="008366B4"/>
    <w:rsid w:val="0085070C"/>
    <w:rsid w:val="00880224"/>
    <w:rsid w:val="00880AAD"/>
    <w:rsid w:val="00884437"/>
    <w:rsid w:val="0088494F"/>
    <w:rsid w:val="008C08E3"/>
    <w:rsid w:val="008C5584"/>
    <w:rsid w:val="008F06A2"/>
    <w:rsid w:val="008F07DC"/>
    <w:rsid w:val="009256CD"/>
    <w:rsid w:val="00943832"/>
    <w:rsid w:val="00945060"/>
    <w:rsid w:val="00977AB8"/>
    <w:rsid w:val="009823EE"/>
    <w:rsid w:val="0099040E"/>
    <w:rsid w:val="00994A92"/>
    <w:rsid w:val="009B3EB3"/>
    <w:rsid w:val="009C5C38"/>
    <w:rsid w:val="009C6997"/>
    <w:rsid w:val="009D1DCD"/>
    <w:rsid w:val="009D4685"/>
    <w:rsid w:val="009E3E94"/>
    <w:rsid w:val="00A0240B"/>
    <w:rsid w:val="00A065A5"/>
    <w:rsid w:val="00A23532"/>
    <w:rsid w:val="00A376AB"/>
    <w:rsid w:val="00A444EF"/>
    <w:rsid w:val="00A501EF"/>
    <w:rsid w:val="00A6385B"/>
    <w:rsid w:val="00A63CBB"/>
    <w:rsid w:val="00A92982"/>
    <w:rsid w:val="00AA38D5"/>
    <w:rsid w:val="00AA6A6C"/>
    <w:rsid w:val="00AA764A"/>
    <w:rsid w:val="00AC7B21"/>
    <w:rsid w:val="00AD37C3"/>
    <w:rsid w:val="00AE7789"/>
    <w:rsid w:val="00AF2C92"/>
    <w:rsid w:val="00AF2F50"/>
    <w:rsid w:val="00AF53EC"/>
    <w:rsid w:val="00B217BA"/>
    <w:rsid w:val="00B33FB1"/>
    <w:rsid w:val="00B74E89"/>
    <w:rsid w:val="00B750D0"/>
    <w:rsid w:val="00B75569"/>
    <w:rsid w:val="00B82C79"/>
    <w:rsid w:val="00B92141"/>
    <w:rsid w:val="00B92175"/>
    <w:rsid w:val="00BA7C2D"/>
    <w:rsid w:val="00BB01E5"/>
    <w:rsid w:val="00BB2E51"/>
    <w:rsid w:val="00BB3BB2"/>
    <w:rsid w:val="00BE21AF"/>
    <w:rsid w:val="00BF0E46"/>
    <w:rsid w:val="00C27DBC"/>
    <w:rsid w:val="00C60244"/>
    <w:rsid w:val="00C74AC3"/>
    <w:rsid w:val="00CB380B"/>
    <w:rsid w:val="00CB4839"/>
    <w:rsid w:val="00CB4DAE"/>
    <w:rsid w:val="00CB6612"/>
    <w:rsid w:val="00CD4F27"/>
    <w:rsid w:val="00CE7098"/>
    <w:rsid w:val="00D01586"/>
    <w:rsid w:val="00D21FBC"/>
    <w:rsid w:val="00D310D2"/>
    <w:rsid w:val="00D34494"/>
    <w:rsid w:val="00D3776E"/>
    <w:rsid w:val="00D40B19"/>
    <w:rsid w:val="00D57797"/>
    <w:rsid w:val="00D63608"/>
    <w:rsid w:val="00D65941"/>
    <w:rsid w:val="00D92B37"/>
    <w:rsid w:val="00D947DE"/>
    <w:rsid w:val="00DC0771"/>
    <w:rsid w:val="00DC5BA3"/>
    <w:rsid w:val="00DF2698"/>
    <w:rsid w:val="00DF2EE8"/>
    <w:rsid w:val="00DF3F37"/>
    <w:rsid w:val="00E02BBE"/>
    <w:rsid w:val="00E0520C"/>
    <w:rsid w:val="00E61989"/>
    <w:rsid w:val="00E751D2"/>
    <w:rsid w:val="00E75422"/>
    <w:rsid w:val="00EA32EA"/>
    <w:rsid w:val="00EA7B59"/>
    <w:rsid w:val="00EB1E2B"/>
    <w:rsid w:val="00EB35BF"/>
    <w:rsid w:val="00EC38E3"/>
    <w:rsid w:val="00EC4D47"/>
    <w:rsid w:val="00ED0864"/>
    <w:rsid w:val="00ED6CC2"/>
    <w:rsid w:val="00EE5F41"/>
    <w:rsid w:val="00F31243"/>
    <w:rsid w:val="00F66931"/>
    <w:rsid w:val="00F761F9"/>
    <w:rsid w:val="00F831CF"/>
    <w:rsid w:val="00F852D9"/>
    <w:rsid w:val="00FA228C"/>
    <w:rsid w:val="00FA5CCF"/>
    <w:rsid w:val="00FB53C5"/>
    <w:rsid w:val="00FD1A87"/>
    <w:rsid w:val="00FF7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0F9A0"/>
  <w15:docId w15:val="{850B2510-3AEC-4385-8194-F508B781A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F6C"/>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paragraph" w:styleId="Header">
    <w:name w:val="header"/>
    <w:basedOn w:val="Normal"/>
    <w:link w:val="HeaderChar"/>
    <w:uiPriority w:val="99"/>
    <w:unhideWhenUsed/>
    <w:rsid w:val="005E5BC7"/>
    <w:pPr>
      <w:tabs>
        <w:tab w:val="center" w:pos="4680"/>
        <w:tab w:val="right" w:pos="9360"/>
      </w:tabs>
      <w:spacing w:line="240" w:lineRule="auto"/>
    </w:pPr>
  </w:style>
  <w:style w:type="character" w:customStyle="1" w:styleId="HeaderChar">
    <w:name w:val="Header Char"/>
    <w:basedOn w:val="DefaultParagraphFont"/>
    <w:link w:val="Header"/>
    <w:uiPriority w:val="99"/>
    <w:rsid w:val="005E5BC7"/>
  </w:style>
  <w:style w:type="paragraph" w:styleId="Footer">
    <w:name w:val="footer"/>
    <w:basedOn w:val="Normal"/>
    <w:link w:val="FooterChar"/>
    <w:uiPriority w:val="99"/>
    <w:unhideWhenUsed/>
    <w:rsid w:val="005E5BC7"/>
    <w:pPr>
      <w:tabs>
        <w:tab w:val="center" w:pos="4680"/>
        <w:tab w:val="right" w:pos="9360"/>
      </w:tabs>
      <w:spacing w:line="240" w:lineRule="auto"/>
    </w:pPr>
  </w:style>
  <w:style w:type="character" w:customStyle="1" w:styleId="FooterChar">
    <w:name w:val="Footer Char"/>
    <w:basedOn w:val="DefaultParagraphFont"/>
    <w:link w:val="Footer"/>
    <w:uiPriority w:val="99"/>
    <w:rsid w:val="005E5BC7"/>
  </w:style>
  <w:style w:type="paragraph" w:styleId="ListParagraph">
    <w:name w:val="List Paragraph"/>
    <w:basedOn w:val="Normal"/>
    <w:uiPriority w:val="34"/>
    <w:qFormat/>
    <w:rsid w:val="005635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TotalTime>
  <Pages>25</Pages>
  <Words>5529</Words>
  <Characters>31519</Characters>
  <Application>Microsoft Office Word</Application>
  <DocSecurity>0</DocSecurity>
  <Lines>262</Lines>
  <Paragraphs>73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Nguyễn Trọng Vũ</cp:lastModifiedBy>
  <cp:revision>206</cp:revision>
  <dcterms:created xsi:type="dcterms:W3CDTF">2026-06-09T01:03:00Z</dcterms:created>
  <dcterms:modified xsi:type="dcterms:W3CDTF">2026-07-10T04:23:00Z</dcterms:modified>
</cp:coreProperties>
</file>