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3" w:type="pct"/>
        <w:tblCellMar>
          <w:left w:w="10" w:type="dxa"/>
          <w:right w:w="10" w:type="dxa"/>
        </w:tblCellMar>
        <w:tblLook w:val="0000" w:firstRow="0" w:lastRow="0" w:firstColumn="0" w:lastColumn="0" w:noHBand="0" w:noVBand="0"/>
      </w:tblPr>
      <w:tblGrid>
        <w:gridCol w:w="9847"/>
      </w:tblGrid>
      <w:tr w:rsidR="00D76AF4" w14:paraId="67E629E1" w14:textId="77777777" w:rsidTr="00D76AF4">
        <w:tc>
          <w:tcPr>
            <w:tcW w:w="5000" w:type="pct"/>
          </w:tcPr>
          <w:tbl>
            <w:tblPr>
              <w:tblW w:w="4700" w:type="pct"/>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89"/>
              <w:gridCol w:w="26"/>
            </w:tblGrid>
            <w:tr w:rsidR="00D76AF4" w14:paraId="0D528485" w14:textId="77777777" w:rsidTr="00D76AF4">
              <w:tc>
                <w:tcPr>
                  <w:tcW w:w="4986" w:type="pct"/>
                  <w:tcBorders>
                    <w:top w:val="none" w:sz="0" w:space="0" w:color="FFFFFF"/>
                    <w:left w:val="none" w:sz="0" w:space="0" w:color="FFFFFF"/>
                    <w:bottom w:val="none" w:sz="0" w:space="0" w:color="FFFFFF"/>
                    <w:right w:val="none" w:sz="0" w:space="0" w:color="FFFFFF"/>
                  </w:tcBorders>
                </w:tcPr>
                <w:tbl>
                  <w:tblPr>
                    <w:tblStyle w:val="TableGrid"/>
                    <w:tblW w:w="97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5245"/>
                  </w:tblGrid>
                  <w:tr w:rsidR="00D76AF4" w14:paraId="5A2503FB" w14:textId="77777777" w:rsidTr="00D76AF4">
                    <w:tc>
                      <w:tcPr>
                        <w:tcW w:w="4524" w:type="dxa"/>
                      </w:tcPr>
                      <w:p w14:paraId="46AB2070" w14:textId="77777777" w:rsidR="00D76AF4" w:rsidRPr="005F40D8" w:rsidRDefault="00D76AF4" w:rsidP="002856C8">
                        <w:pPr>
                          <w:jc w:val="center"/>
                          <w:rPr>
                            <w:sz w:val="24"/>
                            <w:szCs w:val="24"/>
                          </w:rPr>
                        </w:pPr>
                        <w:r w:rsidRPr="005F40D8">
                          <w:rPr>
                            <w:sz w:val="24"/>
                            <w:szCs w:val="24"/>
                          </w:rPr>
                          <w:t>UBND TỈNH ĐẮK LẮK</w:t>
                        </w:r>
                      </w:p>
                      <w:p w14:paraId="2E084CF1" w14:textId="77777777" w:rsidR="00D76AF4" w:rsidRPr="005F40D8" w:rsidRDefault="00D76AF4" w:rsidP="002856C8">
                        <w:pPr>
                          <w:jc w:val="center"/>
                          <w:rPr>
                            <w:b/>
                            <w:bCs/>
                            <w:sz w:val="24"/>
                            <w:szCs w:val="24"/>
                          </w:rPr>
                        </w:pPr>
                        <w:r w:rsidRPr="005F40D8">
                          <w:rPr>
                            <w:b/>
                            <w:bCs/>
                            <w:sz w:val="24"/>
                            <w:szCs w:val="24"/>
                          </w:rPr>
                          <w:t>SỞ NÔNG NGHIỆP VÀ MÔI TRƯỜNG</w:t>
                        </w:r>
                      </w:p>
                      <w:p w14:paraId="0F7C94BE" w14:textId="77777777" w:rsidR="00D76AF4" w:rsidRPr="002904B3" w:rsidRDefault="00D76AF4" w:rsidP="002856C8">
                        <w:pPr>
                          <w:jc w:val="center"/>
                          <w:rPr>
                            <w:b/>
                            <w:bCs/>
                            <w:sz w:val="26"/>
                            <w:szCs w:val="26"/>
                          </w:rPr>
                        </w:pPr>
                        <w:r>
                          <w:rPr>
                            <w:b/>
                            <w:bCs/>
                            <w:noProof/>
                            <w:sz w:val="26"/>
                            <w:szCs w:val="26"/>
                          </w:rPr>
                          <mc:AlternateContent>
                            <mc:Choice Requires="wps">
                              <w:drawing>
                                <wp:anchor distT="0" distB="0" distL="114300" distR="114300" simplePos="0" relativeHeight="251668480" behindDoc="0" locked="0" layoutInCell="1" allowOverlap="1" wp14:anchorId="31B28C0D" wp14:editId="29B3AF3B">
                                  <wp:simplePos x="0" y="0"/>
                                  <wp:positionH relativeFrom="column">
                                    <wp:posOffset>901065</wp:posOffset>
                                  </wp:positionH>
                                  <wp:positionV relativeFrom="paragraph">
                                    <wp:posOffset>93345</wp:posOffset>
                                  </wp:positionV>
                                  <wp:extent cx="754380" cy="0"/>
                                  <wp:effectExtent l="0" t="0" r="0" b="0"/>
                                  <wp:wrapNone/>
                                  <wp:docPr id="725821736" name="Straight Connector 2"/>
                                  <wp:cNvGraphicFramePr/>
                                  <a:graphic xmlns:a="http://schemas.openxmlformats.org/drawingml/2006/main">
                                    <a:graphicData uri="http://schemas.microsoft.com/office/word/2010/wordprocessingShape">
                                      <wps:wsp>
                                        <wps:cNvCnPr/>
                                        <wps:spPr>
                                          <a:xfrm>
                                            <a:off x="0" y="0"/>
                                            <a:ext cx="7543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86ABEA" id="Straight Connector 2"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70.95pt,7.35pt" to="130.3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" strokecolor="#4472c4 [3204]" strokeweight=".5pt">
                                  <v:stroke joinstyle="miter"/>
                                </v:line>
                              </w:pict>
                            </mc:Fallback>
                          </mc:AlternateContent>
                        </w:r>
                      </w:p>
                    </w:tc>
                    <w:tc>
                      <w:tcPr>
                        <w:tcW w:w="5245" w:type="dxa"/>
                      </w:tcPr>
                      <w:p w14:paraId="3962F2AC" w14:textId="77777777" w:rsidR="00D76AF4" w:rsidRPr="005F40D8" w:rsidRDefault="00D76AF4" w:rsidP="00D76AF4">
                        <w:pPr>
                          <w:rPr>
                            <w:b/>
                            <w:bCs/>
                            <w:sz w:val="24"/>
                            <w:szCs w:val="24"/>
                          </w:rPr>
                        </w:pPr>
                        <w:r w:rsidRPr="005F40D8">
                          <w:rPr>
                            <w:b/>
                            <w:bCs/>
                            <w:sz w:val="24"/>
                            <w:szCs w:val="24"/>
                          </w:rPr>
                          <w:t>CỘNG HÒA XÃ HỘI CHỦ NGHĨA VIỆT NAM</w:t>
                        </w:r>
                      </w:p>
                      <w:p w14:paraId="24048C6C" w14:textId="77777777" w:rsidR="00D76AF4" w:rsidRPr="005F40D8" w:rsidRDefault="00D76AF4" w:rsidP="002856C8">
                        <w:pPr>
                          <w:jc w:val="center"/>
                          <w:rPr>
                            <w:b/>
                            <w:bCs/>
                            <w:sz w:val="26"/>
                            <w:szCs w:val="26"/>
                          </w:rPr>
                        </w:pPr>
                        <w:r w:rsidRPr="005F40D8">
                          <w:rPr>
                            <w:b/>
                            <w:bCs/>
                            <w:sz w:val="26"/>
                            <w:szCs w:val="26"/>
                          </w:rPr>
                          <w:t>Độc lập – Tự do – Hạnh phúc</w:t>
                        </w:r>
                      </w:p>
                      <w:p w14:paraId="5D8BE034" w14:textId="77777777" w:rsidR="00D76AF4" w:rsidRDefault="00D76AF4" w:rsidP="002856C8">
                        <w:pPr>
                          <w:jc w:val="center"/>
                          <w:rPr>
                            <w:b/>
                            <w:bCs/>
                            <w:sz w:val="30"/>
                            <w:szCs w:val="30"/>
                          </w:rPr>
                        </w:pPr>
                        <w:r>
                          <w:rPr>
                            <w:b/>
                            <w:bCs/>
                            <w:noProof/>
                            <w:sz w:val="30"/>
                            <w:szCs w:val="30"/>
                          </w:rPr>
                          <mc:AlternateContent>
                            <mc:Choice Requires="wps">
                              <w:drawing>
                                <wp:anchor distT="0" distB="0" distL="114300" distR="114300" simplePos="0" relativeHeight="251669504" behindDoc="0" locked="0" layoutInCell="1" allowOverlap="1" wp14:anchorId="6D564279" wp14:editId="21410635">
                                  <wp:simplePos x="0" y="0"/>
                                  <wp:positionH relativeFrom="column">
                                    <wp:posOffset>567055</wp:posOffset>
                                  </wp:positionH>
                                  <wp:positionV relativeFrom="paragraph">
                                    <wp:posOffset>19685</wp:posOffset>
                                  </wp:positionV>
                                  <wp:extent cx="2080260" cy="7620"/>
                                  <wp:effectExtent l="0" t="0" r="34290" b="30480"/>
                                  <wp:wrapNone/>
                                  <wp:docPr id="517993305" name="Straight Connector 5"/>
                                  <wp:cNvGraphicFramePr/>
                                  <a:graphic xmlns:a="http://schemas.openxmlformats.org/drawingml/2006/main">
                                    <a:graphicData uri="http://schemas.microsoft.com/office/word/2010/wordprocessingShape">
                                      <wps:wsp>
                                        <wps:cNvCnPr/>
                                        <wps:spPr>
                                          <a:xfrm flipV="1">
                                            <a:off x="0" y="0"/>
                                            <a:ext cx="208026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2D43EA3" id="Straight Connector 5" o:spid="_x0000_s1026" style="position:absolute;flip:y;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4.65pt,1.55pt" to="208.4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" strokecolor="#4472c4 [3204]" strokeweight=".5pt">
                                  <v:stroke joinstyle="miter"/>
                                </v:line>
                              </w:pict>
                            </mc:Fallback>
                          </mc:AlternateContent>
                        </w:r>
                      </w:p>
                    </w:tc>
                  </w:tr>
                  <w:tr w:rsidR="00D76AF4" w14:paraId="580BFEAD" w14:textId="77777777" w:rsidTr="00D76AF4">
                    <w:tc>
                      <w:tcPr>
                        <w:tcW w:w="4524" w:type="dxa"/>
                      </w:tcPr>
                      <w:p w14:paraId="59168CE6" w14:textId="77777777" w:rsidR="00D76AF4" w:rsidRPr="002904B3" w:rsidRDefault="00D76AF4" w:rsidP="002856C8">
                        <w:pPr>
                          <w:rPr>
                            <w:sz w:val="26"/>
                            <w:szCs w:val="26"/>
                          </w:rPr>
                        </w:pPr>
                      </w:p>
                    </w:tc>
                    <w:tc>
                      <w:tcPr>
                        <w:tcW w:w="5245" w:type="dxa"/>
                      </w:tcPr>
                      <w:p w14:paraId="51282FCA" w14:textId="77777777" w:rsidR="00D76AF4" w:rsidRDefault="00D76AF4" w:rsidP="002856C8">
                        <w:pPr>
                          <w:jc w:val="center"/>
                          <w:rPr>
                            <w:i/>
                            <w:iCs/>
                            <w:sz w:val="26"/>
                            <w:szCs w:val="26"/>
                          </w:rPr>
                        </w:pPr>
                        <w:r w:rsidRPr="002904B3">
                          <w:rPr>
                            <w:i/>
                            <w:iCs/>
                            <w:sz w:val="26"/>
                            <w:szCs w:val="26"/>
                          </w:rPr>
                          <w:t xml:space="preserve">Đắk Lắk, ngày  </w:t>
                        </w:r>
                        <w:r>
                          <w:rPr>
                            <w:i/>
                            <w:iCs/>
                            <w:sz w:val="26"/>
                            <w:szCs w:val="26"/>
                          </w:rPr>
                          <w:t xml:space="preserve"> </w:t>
                        </w:r>
                        <w:r w:rsidRPr="002904B3">
                          <w:rPr>
                            <w:i/>
                            <w:iCs/>
                            <w:sz w:val="26"/>
                            <w:szCs w:val="26"/>
                          </w:rPr>
                          <w:t xml:space="preserve"> </w:t>
                        </w:r>
                        <w:r>
                          <w:rPr>
                            <w:i/>
                            <w:iCs/>
                            <w:sz w:val="26"/>
                            <w:szCs w:val="26"/>
                          </w:rPr>
                          <w:t xml:space="preserve"> </w:t>
                        </w:r>
                        <w:r w:rsidRPr="002904B3">
                          <w:rPr>
                            <w:i/>
                            <w:iCs/>
                            <w:sz w:val="26"/>
                            <w:szCs w:val="26"/>
                          </w:rPr>
                          <w:t xml:space="preserve">  tháng   </w:t>
                        </w:r>
                        <w:r>
                          <w:rPr>
                            <w:i/>
                            <w:iCs/>
                            <w:sz w:val="26"/>
                            <w:szCs w:val="26"/>
                          </w:rPr>
                          <w:t xml:space="preserve">  </w:t>
                        </w:r>
                        <w:r w:rsidRPr="002904B3">
                          <w:rPr>
                            <w:i/>
                            <w:iCs/>
                            <w:sz w:val="26"/>
                            <w:szCs w:val="26"/>
                          </w:rPr>
                          <w:t xml:space="preserve"> năm 2026</w:t>
                        </w:r>
                      </w:p>
                      <w:p w14:paraId="0DBE493A" w14:textId="77777777" w:rsidR="00D76AF4" w:rsidRPr="002904B3" w:rsidRDefault="00D76AF4" w:rsidP="002856C8">
                        <w:pPr>
                          <w:jc w:val="center"/>
                          <w:rPr>
                            <w:i/>
                            <w:iCs/>
                            <w:sz w:val="26"/>
                            <w:szCs w:val="26"/>
                          </w:rPr>
                        </w:pPr>
                      </w:p>
                    </w:tc>
                  </w:tr>
                </w:tbl>
                <w:p w14:paraId="5F360D0F" w14:textId="77777777" w:rsidR="00D76AF4" w:rsidRDefault="00D76AF4" w:rsidP="002856C8">
                  <w:pPr>
                    <w:spacing w:before="200"/>
                    <w:jc w:val="center"/>
                  </w:pPr>
                </w:p>
              </w:tc>
              <w:tc>
                <w:tcPr>
                  <w:tcW w:w="14" w:type="pct"/>
                  <w:tcBorders>
                    <w:top w:val="none" w:sz="0" w:space="0" w:color="FFFFFF"/>
                    <w:left w:val="none" w:sz="0" w:space="0" w:color="FFFFFF"/>
                    <w:bottom w:val="none" w:sz="0" w:space="0" w:color="FFFFFF"/>
                    <w:right w:val="none" w:sz="0" w:space="0" w:color="FFFFFF"/>
                  </w:tcBorders>
                </w:tcPr>
                <w:p w14:paraId="379FECF7" w14:textId="77777777" w:rsidR="00D76AF4" w:rsidRDefault="00D76AF4" w:rsidP="002856C8">
                  <w:pPr>
                    <w:spacing w:before="200"/>
                    <w:jc w:val="center"/>
                  </w:pPr>
                </w:p>
              </w:tc>
            </w:tr>
          </w:tbl>
          <w:p w14:paraId="68758FFD" w14:textId="5A607EE3" w:rsidR="00D76AF4" w:rsidRDefault="00D76AF4">
            <w:pPr>
              <w:spacing w:before="200"/>
              <w:jc w:val="center"/>
            </w:pPr>
          </w:p>
        </w:tc>
      </w:tr>
    </w:tbl>
    <w:p w14:paraId="03E17AA1" w14:textId="77777777" w:rsidR="007357A9" w:rsidRDefault="007357A9"/>
    <w:p w14:paraId="64E28F92" w14:textId="77777777" w:rsidR="003C1BCA" w:rsidRDefault="003C1BCA" w:rsidP="000721DB">
      <w:pPr>
        <w:jc w:val="center"/>
        <w:rPr>
          <w:b/>
          <w:bCs/>
          <w:sz w:val="28"/>
          <w:szCs w:val="28"/>
        </w:rPr>
      </w:pPr>
      <w:r>
        <w:rPr>
          <w:b/>
          <w:bCs/>
          <w:sz w:val="28"/>
          <w:szCs w:val="28"/>
        </w:rPr>
        <w:t xml:space="preserve">BẢN ĐÁNH GIÁ THỦ TỤC HÀNH CHÍNH TRONG DỰ THẢO NGHỊ QUYẾT QUY ĐỊNH MỨC HỖ TRỢ CHÊNH LỆCH LÃI SUẤT ĐỂ HỖ TRỢ ĐẦU TƯ TRỒNG RỪNG GỖ LỚN TRÊN ĐỊA BÀN </w:t>
      </w:r>
    </w:p>
    <w:p w14:paraId="2BCDB9AA" w14:textId="124E676E" w:rsidR="003C1BCA" w:rsidRDefault="003C1BCA" w:rsidP="000721DB">
      <w:pPr>
        <w:jc w:val="center"/>
        <w:rPr>
          <w:b/>
          <w:bCs/>
          <w:sz w:val="28"/>
          <w:szCs w:val="28"/>
        </w:rPr>
      </w:pPr>
      <w:r>
        <w:rPr>
          <w:b/>
          <w:bCs/>
          <w:sz w:val="28"/>
          <w:szCs w:val="28"/>
        </w:rPr>
        <w:t>TỈNH ĐẮK LẮK</w:t>
      </w:r>
    </w:p>
    <w:p w14:paraId="5E0CA156" w14:textId="66F385A0" w:rsidR="000721DB" w:rsidRDefault="000721DB" w:rsidP="000721DB">
      <w:pPr>
        <w:spacing w:before="300"/>
        <w:jc w:val="center"/>
      </w:pPr>
      <w:r>
        <w:rPr>
          <w:noProof/>
        </w:rPr>
        <mc:AlternateContent>
          <mc:Choice Requires="wps">
            <w:drawing>
              <wp:anchor distT="0" distB="0" distL="114300" distR="114300" simplePos="0" relativeHeight="251659264" behindDoc="0" locked="0" layoutInCell="1" allowOverlap="1" wp14:anchorId="275A46C2" wp14:editId="758748D7">
                <wp:simplePos x="0" y="0"/>
                <wp:positionH relativeFrom="column">
                  <wp:posOffset>2082165</wp:posOffset>
                </wp:positionH>
                <wp:positionV relativeFrom="paragraph">
                  <wp:posOffset>46990</wp:posOffset>
                </wp:positionV>
                <wp:extent cx="1645920" cy="15240"/>
                <wp:effectExtent l="0" t="0" r="30480" b="22860"/>
                <wp:wrapNone/>
                <wp:docPr id="951305282" name="Straight Connector 1"/>
                <wp:cNvGraphicFramePr/>
                <a:graphic xmlns:a="http://schemas.openxmlformats.org/drawingml/2006/main">
                  <a:graphicData uri="http://schemas.microsoft.com/office/word/2010/wordprocessingShape">
                    <wps:wsp>
                      <wps:cNvCnPr/>
                      <wps:spPr>
                        <a:xfrm flipV="1">
                          <a:off x="0" y="0"/>
                          <a:ext cx="1645920" cy="152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3CF75F"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63.95pt,3.7pt" to="293.5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" strokecolor="#4472c4 [3204]" strokeweight=".5pt">
                <v:stroke joinstyle="miter"/>
              </v:line>
            </w:pict>
          </mc:Fallback>
        </mc:AlternateContent>
      </w:r>
    </w:p>
    <w:p w14:paraId="06F5E7A5" w14:textId="6BFB8465" w:rsidR="000721DB" w:rsidRPr="00F241F8" w:rsidRDefault="009D1615" w:rsidP="000721DB">
      <w:pPr>
        <w:spacing w:before="120" w:after="120" w:line="300" w:lineRule="atLeast"/>
        <w:ind w:firstLine="425"/>
        <w:jc w:val="both"/>
        <w:rPr>
          <w:sz w:val="28"/>
          <w:szCs w:val="28"/>
        </w:rPr>
      </w:pPr>
      <w:r>
        <w:rPr>
          <w:sz w:val="28"/>
          <w:szCs w:val="28"/>
        </w:rPr>
        <w:t xml:space="preserve">Thực hiện Luật Ban hành văn bản quy phạm pháp luật số 64/2025/QH15 ngày 19 tháng 02 năm 2025, được sửa đổi, bổ sung bởi Luật số 87/2025/QH15 ngày 25 tháng 6 năm 2025; </w:t>
      </w:r>
      <w:r w:rsidR="00000000" w:rsidRPr="00F241F8">
        <w:rPr>
          <w:sz w:val="28"/>
          <w:szCs w:val="28"/>
        </w:rPr>
        <w:t xml:space="preserve">Nghị định số 78/2025/NĐ-CP ngày 01 tháng 4 năm 2025 của Chính phủ </w:t>
      </w:r>
      <w:r>
        <w:rPr>
          <w:sz w:val="28"/>
          <w:szCs w:val="28"/>
        </w:rPr>
        <w:t xml:space="preserve">quy định chi tiết một số điều và biện pháp để tổ chức, hướng dẫn thi hành Luật Ban hành văn bản quy phạm pháp luật </w:t>
      </w:r>
      <w:r w:rsidR="00000000" w:rsidRPr="00F241F8">
        <w:rPr>
          <w:sz w:val="28"/>
          <w:szCs w:val="28"/>
        </w:rPr>
        <w:t>(được sửa đổi, bổ sung bởi Nghị định số 187/2025/NĐ-CP</w:t>
      </w:r>
      <w:r>
        <w:rPr>
          <w:sz w:val="28"/>
          <w:szCs w:val="28"/>
        </w:rPr>
        <w:t xml:space="preserve"> ngày 01/7/2025 của Chính phủ</w:t>
      </w:r>
      <w:r w:rsidR="00000000" w:rsidRPr="00F241F8">
        <w:rPr>
          <w:sz w:val="28"/>
          <w:szCs w:val="28"/>
        </w:rPr>
        <w:t>)</w:t>
      </w:r>
      <w:r>
        <w:rPr>
          <w:sz w:val="28"/>
          <w:szCs w:val="28"/>
        </w:rPr>
        <w:t xml:space="preserve">; </w:t>
      </w:r>
      <w:r w:rsidRPr="004E7CEC">
        <w:rPr>
          <w:sz w:val="28"/>
          <w:szCs w:val="28"/>
        </w:rPr>
        <w:t xml:space="preserve">Quyết định số 31/QĐ-HĐND </w:t>
      </w:r>
      <w:r>
        <w:rPr>
          <w:sz w:val="28"/>
          <w:szCs w:val="28"/>
        </w:rPr>
        <w:t>n</w:t>
      </w:r>
      <w:r w:rsidRPr="004E7CEC">
        <w:rPr>
          <w:sz w:val="28"/>
          <w:szCs w:val="28"/>
        </w:rPr>
        <w:t>gày 24/7/2026</w:t>
      </w:r>
      <w:r>
        <w:rPr>
          <w:sz w:val="28"/>
          <w:szCs w:val="28"/>
        </w:rPr>
        <w:t xml:space="preserve"> của</w:t>
      </w:r>
      <w:r w:rsidRPr="004E7CEC">
        <w:rPr>
          <w:sz w:val="28"/>
          <w:szCs w:val="28"/>
        </w:rPr>
        <w:t xml:space="preserve"> Thường trực Hội đồng nhân dân tỉnh về việc ban hành Danh mục văn bản quy định chi tiết và nội dung giao quy định thuộc thẩm quyền ban hành của Hội đồng nhân dân tỉnh</w:t>
      </w:r>
      <w:r>
        <w:rPr>
          <w:sz w:val="28"/>
          <w:szCs w:val="28"/>
        </w:rPr>
        <w:t>;</w:t>
      </w:r>
      <w:r w:rsidRPr="004E7CEC">
        <w:rPr>
          <w:sz w:val="28"/>
          <w:szCs w:val="28"/>
        </w:rPr>
        <w:t xml:space="preserve"> Công văn số 11588/UBND-NC </w:t>
      </w:r>
      <w:r>
        <w:rPr>
          <w:sz w:val="28"/>
          <w:szCs w:val="28"/>
        </w:rPr>
        <w:t>n</w:t>
      </w:r>
      <w:r w:rsidRPr="004E7CEC">
        <w:rPr>
          <w:sz w:val="28"/>
          <w:szCs w:val="28"/>
        </w:rPr>
        <w:t xml:space="preserve">gày 28/7/2026 </w:t>
      </w:r>
      <w:r>
        <w:rPr>
          <w:sz w:val="28"/>
          <w:szCs w:val="28"/>
        </w:rPr>
        <w:t xml:space="preserve">của </w:t>
      </w:r>
      <w:r w:rsidRPr="004E7CEC">
        <w:rPr>
          <w:sz w:val="28"/>
          <w:szCs w:val="28"/>
        </w:rPr>
        <w:t>Ủy ban nhân dân tỉnh về việc triển khai Quyết định số 31/QĐ-HĐND ngày 24/7/2026 của HĐND tỉnh</w:t>
      </w:r>
      <w:r>
        <w:rPr>
          <w:sz w:val="28"/>
          <w:szCs w:val="28"/>
        </w:rPr>
        <w:t>. Sở Nông nghiệp và Môi trường</w:t>
      </w:r>
      <w:r w:rsidR="00000000" w:rsidRPr="00F241F8">
        <w:rPr>
          <w:sz w:val="28"/>
          <w:szCs w:val="28"/>
        </w:rPr>
        <w:t xml:space="preserve"> </w:t>
      </w:r>
      <w:r>
        <w:rPr>
          <w:sz w:val="28"/>
          <w:szCs w:val="28"/>
        </w:rPr>
        <w:t>tiến hành</w:t>
      </w:r>
      <w:r w:rsidR="00000000" w:rsidRPr="00F241F8">
        <w:rPr>
          <w:sz w:val="28"/>
          <w:szCs w:val="28"/>
        </w:rPr>
        <w:t xml:space="preserve"> rà soát, đánh giá </w:t>
      </w:r>
      <w:r w:rsidR="00D826BF" w:rsidRPr="00F241F8">
        <w:rPr>
          <w:sz w:val="28"/>
          <w:szCs w:val="28"/>
        </w:rPr>
        <w:t>thủ tục hành chính trong Dự thảo Nghị quyết quy định mức hỗ trợ chênh lệch lãi suất để hỗ trợ tín dụng đầu tư trồng rừng gỗ lớn trên địa bàn tỉnh Đắk Lắk</w:t>
      </w:r>
      <w:r>
        <w:rPr>
          <w:sz w:val="28"/>
          <w:szCs w:val="28"/>
        </w:rPr>
        <w:t xml:space="preserve">, kết quả </w:t>
      </w:r>
      <w:r w:rsidR="00000000" w:rsidRPr="00F241F8">
        <w:rPr>
          <w:sz w:val="28"/>
          <w:szCs w:val="28"/>
        </w:rPr>
        <w:t>như sau:</w:t>
      </w:r>
    </w:p>
    <w:p w14:paraId="1209B2EA" w14:textId="167021D2" w:rsidR="009D1615" w:rsidRDefault="00000000" w:rsidP="000721DB">
      <w:pPr>
        <w:spacing w:before="120" w:after="120" w:line="300" w:lineRule="atLeast"/>
        <w:ind w:firstLine="425"/>
        <w:jc w:val="both"/>
        <w:rPr>
          <w:b/>
          <w:bCs/>
          <w:sz w:val="28"/>
          <w:szCs w:val="28"/>
        </w:rPr>
      </w:pPr>
      <w:r w:rsidRPr="00F241F8">
        <w:rPr>
          <w:b/>
          <w:bCs/>
          <w:sz w:val="28"/>
          <w:szCs w:val="28"/>
        </w:rPr>
        <w:t xml:space="preserve">I. </w:t>
      </w:r>
      <w:r w:rsidR="009D1615">
        <w:rPr>
          <w:b/>
          <w:bCs/>
          <w:sz w:val="28"/>
          <w:szCs w:val="28"/>
        </w:rPr>
        <w:t>TỔ CHỨC THỰC HIỆN ĐÁNH GIÁ</w:t>
      </w:r>
    </w:p>
    <w:p w14:paraId="0E54F500" w14:textId="2DFC5972" w:rsidR="009D1615" w:rsidRDefault="009D1615" w:rsidP="000721DB">
      <w:pPr>
        <w:spacing w:before="120" w:after="120" w:line="300" w:lineRule="atLeast"/>
        <w:ind w:firstLine="425"/>
        <w:jc w:val="both"/>
        <w:rPr>
          <w:b/>
          <w:bCs/>
          <w:sz w:val="28"/>
          <w:szCs w:val="28"/>
        </w:rPr>
      </w:pPr>
      <w:r>
        <w:rPr>
          <w:b/>
          <w:bCs/>
          <w:sz w:val="28"/>
          <w:szCs w:val="28"/>
        </w:rPr>
        <w:t>1. Bối cảnh xây dựng dự thảo Nghị quyết</w:t>
      </w:r>
    </w:p>
    <w:p w14:paraId="32D1EB1E" w14:textId="7EDE7D1B" w:rsidR="009D1615" w:rsidRPr="00801B6F" w:rsidRDefault="009D1615" w:rsidP="000721DB">
      <w:pPr>
        <w:spacing w:before="120" w:after="120" w:line="300" w:lineRule="atLeast"/>
        <w:ind w:firstLine="425"/>
        <w:jc w:val="both"/>
        <w:rPr>
          <w:sz w:val="28"/>
          <w:szCs w:val="28"/>
        </w:rPr>
      </w:pPr>
      <w:r w:rsidRPr="00801B6F">
        <w:rPr>
          <w:sz w:val="28"/>
          <w:szCs w:val="28"/>
        </w:rPr>
        <w:t>Sở Nông nghiệp và Môi trường được giao chủ trì xây dựng dự thảo Nghị quyết</w:t>
      </w:r>
      <w:r w:rsidR="00801B6F" w:rsidRPr="00801B6F">
        <w:rPr>
          <w:sz w:val="28"/>
          <w:szCs w:val="28"/>
        </w:rPr>
        <w:t xml:space="preserve"> </w:t>
      </w:r>
      <w:r w:rsidR="00801B6F" w:rsidRPr="00801B6F">
        <w:rPr>
          <w:sz w:val="28"/>
          <w:szCs w:val="28"/>
        </w:rPr>
        <w:t>quy định mức hỗ trợ chênh lệch lãi suất để hỗ trợ tín dụng đầu tư trồng rừng gỗ lớn trên địa bàn tỉnh Đắk Lắk</w:t>
      </w:r>
      <w:r w:rsidR="00801B6F" w:rsidRPr="00801B6F">
        <w:rPr>
          <w:sz w:val="28"/>
          <w:szCs w:val="28"/>
        </w:rPr>
        <w:t xml:space="preserve"> (sau đây gọi tắt là dự thảo Nghị quyết) nhằm hệ thống hóa, hoàn thiện các quy định hiện hành về các chính sách đầu tư trong lâm nghiệp, trong đó có chính sách hỗ trợ đầu tư trồng rừng gỗ lớn; bảo đảm thống nhất với Luật Lâm nghiệp, các văn bản quy định chi tiết thi hành và yêu cầu cải cách thủ tục hành chính.</w:t>
      </w:r>
    </w:p>
    <w:p w14:paraId="1DFCC0A5" w14:textId="77777777" w:rsidR="00801B6F" w:rsidRDefault="00801B6F" w:rsidP="000721DB">
      <w:pPr>
        <w:spacing w:before="120" w:after="120" w:line="300" w:lineRule="atLeast"/>
        <w:ind w:firstLine="425"/>
        <w:jc w:val="both"/>
        <w:rPr>
          <w:sz w:val="28"/>
          <w:szCs w:val="28"/>
        </w:rPr>
      </w:pPr>
      <w:r>
        <w:rPr>
          <w:sz w:val="28"/>
          <w:szCs w:val="28"/>
        </w:rPr>
        <w:t>Thực hiện chủ trương, định hướng của Đảng, nhà nước về cải cách thủ tục hành chính, đơn giản hóa thủ tục hành chính và cương quyết cắt giảm thủ tục hành chính không cần thiết. Do đó, dự thảo Nghị quyết không quy định thủ tục hành chính mới; thủ tục, hồ sơ để được nhận hỗ trợ được thực hiện theo quy định của cấp có thẩm quyền.</w:t>
      </w:r>
    </w:p>
    <w:p w14:paraId="6CED9E55" w14:textId="53B1B1AC" w:rsidR="00801B6F" w:rsidRPr="000A0E45" w:rsidRDefault="00801B6F" w:rsidP="000721DB">
      <w:pPr>
        <w:spacing w:before="120" w:after="120" w:line="300" w:lineRule="atLeast"/>
        <w:ind w:firstLine="425"/>
        <w:jc w:val="both"/>
        <w:rPr>
          <w:b/>
          <w:bCs/>
          <w:sz w:val="28"/>
          <w:szCs w:val="28"/>
        </w:rPr>
      </w:pPr>
      <w:r w:rsidRPr="000A0E45">
        <w:rPr>
          <w:b/>
          <w:bCs/>
          <w:sz w:val="28"/>
          <w:szCs w:val="28"/>
        </w:rPr>
        <w:t>2. Mục đích, yêu cầu đánh giá</w:t>
      </w:r>
    </w:p>
    <w:p w14:paraId="2B1D834A" w14:textId="3C08E8E1" w:rsidR="00801B6F" w:rsidRDefault="00801B6F" w:rsidP="000721DB">
      <w:pPr>
        <w:spacing w:before="120" w:after="120" w:line="300" w:lineRule="atLeast"/>
        <w:ind w:firstLine="425"/>
        <w:jc w:val="both"/>
        <w:rPr>
          <w:sz w:val="28"/>
          <w:szCs w:val="28"/>
        </w:rPr>
      </w:pPr>
      <w:r>
        <w:rPr>
          <w:sz w:val="28"/>
          <w:szCs w:val="28"/>
        </w:rPr>
        <w:t xml:space="preserve">Việc đánh giá thủ tục hành chính được thực hiện nhằm xác định sự cần thiết, tính hợp lý, tính hợp pháp và chi phí tuân thủ của các thủ tục hành chính được quy định tại dự thảo Nghị quyết (nếu có); đồng thời rà soát khả năng cắt giảm, đơn giản hóa </w:t>
      </w:r>
      <w:r>
        <w:rPr>
          <w:sz w:val="28"/>
          <w:szCs w:val="28"/>
        </w:rPr>
        <w:lastRenderedPageBreak/>
        <w:t>thành phần hồ sơ, trình tự, thời hạn, phương thức thực hiện và yêu cầu phối hợp giữa các cơ quan, đơn vị.</w:t>
      </w:r>
    </w:p>
    <w:p w14:paraId="5A6824E0" w14:textId="5B3DF008" w:rsidR="000A0E45" w:rsidRDefault="000A0E45" w:rsidP="000721DB">
      <w:pPr>
        <w:spacing w:before="120" w:after="120" w:line="300" w:lineRule="atLeast"/>
        <w:ind w:firstLine="425"/>
        <w:jc w:val="both"/>
        <w:rPr>
          <w:sz w:val="28"/>
          <w:szCs w:val="28"/>
        </w:rPr>
      </w:pPr>
      <w:r>
        <w:rPr>
          <w:sz w:val="28"/>
          <w:szCs w:val="28"/>
        </w:rPr>
        <w:t>Phạm vi đánh giá tập trung vào các thủ tục về nhận hỗ trợ mức chênh lệch lãi suất vay tín dụng để đầu tư trồng rừng gỗ lớn. Nội dung đánh giá được thực hiện trên cơ sở so sánh quy định hiện hành với phương án tại dự thảo Nghị quyết; rà soát thẩm quyền, đối tượng thực hiện, thành phần hồ sơ, trình tự, thời hạn, cách thức thực hiện và chi phí tuân thủ (nếu có).</w:t>
      </w:r>
    </w:p>
    <w:p w14:paraId="74026FDD" w14:textId="421B6D7B" w:rsidR="000A0E45" w:rsidRPr="000A0E45" w:rsidRDefault="000A0E45" w:rsidP="000721DB">
      <w:pPr>
        <w:spacing w:before="120" w:after="120" w:line="300" w:lineRule="atLeast"/>
        <w:ind w:firstLine="425"/>
        <w:jc w:val="both"/>
        <w:rPr>
          <w:b/>
          <w:bCs/>
          <w:sz w:val="28"/>
          <w:szCs w:val="28"/>
        </w:rPr>
      </w:pPr>
      <w:r w:rsidRPr="000A0E45">
        <w:rPr>
          <w:b/>
          <w:bCs/>
          <w:sz w:val="28"/>
          <w:szCs w:val="28"/>
        </w:rPr>
        <w:t>3. Cơ sở pháp lý thực hiện đánh giá</w:t>
      </w:r>
    </w:p>
    <w:p w14:paraId="12DC729D" w14:textId="6060F945" w:rsidR="000A0E45" w:rsidRDefault="000A0E45" w:rsidP="000721DB">
      <w:pPr>
        <w:spacing w:before="120" w:after="120" w:line="300" w:lineRule="atLeast"/>
        <w:ind w:firstLine="425"/>
        <w:jc w:val="both"/>
        <w:rPr>
          <w:sz w:val="28"/>
          <w:szCs w:val="28"/>
        </w:rPr>
      </w:pPr>
      <w:r>
        <w:rPr>
          <w:sz w:val="28"/>
          <w:szCs w:val="28"/>
        </w:rPr>
        <w:t>Việc quy định và đánh giá thủ tục hành chính được thực hiện theo Luật Ban hành văn bản quy phạm pháp luật, Nghị định số 78/2025/NĐ-CP, pháp luật về kiểm soát thủ tục hành chính, Luật Lâm nghiệp và các văn bản quy định chỉ tiết thi hành. Các biểu đánh giá tác động và biểu tính chi phí tuân thủ (nếu có) được lập theo biểu mẫu, yêu cầu đang có hiệu lực tại thời điểm hoàn thiện hồ sơ.</w:t>
      </w:r>
    </w:p>
    <w:p w14:paraId="79DA360C" w14:textId="425865C6" w:rsidR="000721DB" w:rsidRDefault="000A0E45" w:rsidP="000721DB">
      <w:pPr>
        <w:spacing w:before="120" w:after="120" w:line="300" w:lineRule="atLeast"/>
        <w:ind w:firstLine="425"/>
        <w:jc w:val="both"/>
        <w:rPr>
          <w:b/>
          <w:bCs/>
          <w:sz w:val="28"/>
          <w:szCs w:val="28"/>
        </w:rPr>
      </w:pPr>
      <w:r>
        <w:rPr>
          <w:b/>
          <w:bCs/>
          <w:sz w:val="28"/>
          <w:szCs w:val="28"/>
        </w:rPr>
        <w:t xml:space="preserve">II. </w:t>
      </w:r>
      <w:r w:rsidR="00000000" w:rsidRPr="00F241F8">
        <w:rPr>
          <w:b/>
          <w:bCs/>
          <w:sz w:val="28"/>
          <w:szCs w:val="28"/>
        </w:rPr>
        <w:t>KẾT QUẢ RÀ SOÁT</w:t>
      </w:r>
      <w:r>
        <w:rPr>
          <w:b/>
          <w:bCs/>
          <w:sz w:val="28"/>
          <w:szCs w:val="28"/>
        </w:rPr>
        <w:t>,</w:t>
      </w:r>
      <w:r w:rsidR="00000000" w:rsidRPr="00F241F8">
        <w:rPr>
          <w:b/>
          <w:bCs/>
          <w:sz w:val="28"/>
          <w:szCs w:val="28"/>
        </w:rPr>
        <w:t xml:space="preserve"> </w:t>
      </w:r>
      <w:r>
        <w:rPr>
          <w:b/>
          <w:bCs/>
          <w:sz w:val="28"/>
          <w:szCs w:val="28"/>
        </w:rPr>
        <w:t>ĐÁNH GIÁ</w:t>
      </w:r>
    </w:p>
    <w:p w14:paraId="7BA6D404" w14:textId="3183ED75" w:rsidR="000A0E45" w:rsidRPr="000A0E45" w:rsidRDefault="000A0E45" w:rsidP="000A0E45">
      <w:pPr>
        <w:spacing w:before="120" w:after="120" w:line="300" w:lineRule="atLeast"/>
        <w:ind w:firstLine="425"/>
        <w:jc w:val="both"/>
        <w:rPr>
          <w:b/>
          <w:bCs/>
          <w:sz w:val="28"/>
          <w:szCs w:val="28"/>
        </w:rPr>
      </w:pPr>
      <w:r w:rsidRPr="000A0E45">
        <w:rPr>
          <w:b/>
          <w:bCs/>
          <w:sz w:val="28"/>
          <w:szCs w:val="28"/>
        </w:rPr>
        <w:t>1. Đánh giá tác động thủ tục hành chính</w:t>
      </w:r>
    </w:p>
    <w:p w14:paraId="14469968" w14:textId="77777777" w:rsidR="000721DB" w:rsidRPr="00F241F8" w:rsidRDefault="00000000" w:rsidP="000721DB">
      <w:pPr>
        <w:spacing w:before="120" w:after="120" w:line="300" w:lineRule="atLeast"/>
        <w:ind w:firstLine="425"/>
        <w:jc w:val="both"/>
        <w:rPr>
          <w:sz w:val="28"/>
          <w:szCs w:val="28"/>
        </w:rPr>
      </w:pPr>
      <w:r w:rsidRPr="00F241F8">
        <w:rPr>
          <w:sz w:val="28"/>
          <w:szCs w:val="28"/>
        </w:rPr>
        <w:t>Dự thảo Nghị quyết quy định mức hỗ trợ chênh lệch lãi suất để hỗ trợ tín dụng đầu tư trồng rừng gỗ lớn trên địa bàn tỉnh Đắk Lắk gồm 05 Điều, quy định về: phạm vi điều chỉnh, đối tượng áp dụng, mức hỗ trợ chênh lệch lãi suất, điều kiện được hỗ trợ và điều khoản thi hành.</w:t>
      </w:r>
    </w:p>
    <w:p w14:paraId="6BEDCFAA" w14:textId="77777777" w:rsidR="000721DB" w:rsidRDefault="00000000" w:rsidP="000721DB">
      <w:pPr>
        <w:spacing w:before="120" w:after="120" w:line="300" w:lineRule="atLeast"/>
        <w:ind w:firstLine="425"/>
        <w:jc w:val="both"/>
        <w:rPr>
          <w:sz w:val="28"/>
          <w:szCs w:val="28"/>
        </w:rPr>
      </w:pPr>
      <w:r w:rsidRPr="00F241F8">
        <w:rPr>
          <w:sz w:val="28"/>
          <w:szCs w:val="28"/>
        </w:rPr>
        <w:t>Qua rà soát toàn bộ nội dung dự thảo, dự thảo Nghị quyết chỉ quy định về mức, điều kiện, thời gian và tỷ lệ vốn vay được hỗ trợ chênh lệch lãi suất (nội dung mang tính chính sách hỗ trợ tài chính), không đặt ra trình tự, hồ sơ, thời hạn giải quyết, cơ quan tiếp nhận và giải quyết riêng đối với người dân để được hưởng chính sách. Trình tự cho vay, giải ngân, thu hồi nợ vay thực hiện theo quy trình nghiệp vụ tín dụng đã được quy định tại quy trình, quy chế cho vay của tổ chức tín dụng theo pháp luật về tín dụng ngân hàng hiện hành; việc xác nhận đối tượng, điều kiện được hỗ trợ (nếu có) sẽ được Ủy ban nhân dân tỉnh giao Sở Nông nghiệp và Môi trường hướng dẫn thực hiện lồng ghép trong quy trình quản lý nhà nước về lâm nghiệp hiện có (xác nhận diện tích, chủ rừng), không phát sinh thủ tục hành chính mới, độc lập.</w:t>
      </w:r>
    </w:p>
    <w:p w14:paraId="1054DB1F" w14:textId="0D1C3042" w:rsidR="000A0E45" w:rsidRPr="00997EA2" w:rsidRDefault="000A0E45" w:rsidP="000721DB">
      <w:pPr>
        <w:spacing w:before="120" w:after="120" w:line="300" w:lineRule="atLeast"/>
        <w:ind w:firstLine="425"/>
        <w:jc w:val="both"/>
        <w:rPr>
          <w:b/>
          <w:bCs/>
          <w:sz w:val="28"/>
          <w:szCs w:val="28"/>
        </w:rPr>
      </w:pPr>
      <w:r w:rsidRPr="00997EA2">
        <w:rPr>
          <w:b/>
          <w:bCs/>
          <w:sz w:val="28"/>
          <w:szCs w:val="28"/>
        </w:rPr>
        <w:t>2. Việc bảo đảm bình đẳng giới</w:t>
      </w:r>
    </w:p>
    <w:p w14:paraId="35BF30CA" w14:textId="7B528A9D" w:rsidR="000A0E45" w:rsidRDefault="000A0E45" w:rsidP="000721DB">
      <w:pPr>
        <w:spacing w:before="120" w:after="120" w:line="300" w:lineRule="atLeast"/>
        <w:ind w:firstLine="425"/>
        <w:jc w:val="both"/>
        <w:rPr>
          <w:sz w:val="28"/>
          <w:szCs w:val="28"/>
        </w:rPr>
      </w:pPr>
      <w:r>
        <w:rPr>
          <w:sz w:val="28"/>
          <w:szCs w:val="28"/>
        </w:rPr>
        <w:t>Dự thảo Nghị quyết không quy định sự khác biệt về quyền, nghĩa vụ, điều kiện, hồ sơ hoặc trình tự thực hiện thủ tục hành chính giữa nam và nữ. Các quy định, điều kiện trong dự thảo Nghị quyết được áp dụng thống nhất đối với hộ gia đình, cá nhân, không làm phát sinh tác động bất lợi hoặc phân biệt đối xử về giới.</w:t>
      </w:r>
    </w:p>
    <w:p w14:paraId="1B7D2D46" w14:textId="2D1C97BE" w:rsidR="000A0E45" w:rsidRPr="00997EA2" w:rsidRDefault="000A0E45" w:rsidP="000721DB">
      <w:pPr>
        <w:spacing w:before="120" w:after="120" w:line="300" w:lineRule="atLeast"/>
        <w:ind w:firstLine="425"/>
        <w:jc w:val="both"/>
        <w:rPr>
          <w:b/>
          <w:bCs/>
          <w:sz w:val="28"/>
          <w:szCs w:val="28"/>
        </w:rPr>
      </w:pPr>
      <w:r w:rsidRPr="00997EA2">
        <w:rPr>
          <w:b/>
          <w:bCs/>
          <w:sz w:val="28"/>
          <w:szCs w:val="28"/>
        </w:rPr>
        <w:t>3. Việc thực hiện chính sách dân tộc (nếu có)</w:t>
      </w:r>
    </w:p>
    <w:p w14:paraId="48422BE0" w14:textId="32345E7A" w:rsidR="000A0E45" w:rsidRPr="00F241F8" w:rsidRDefault="000A0E45" w:rsidP="000721DB">
      <w:pPr>
        <w:spacing w:before="120" w:after="120" w:line="300" w:lineRule="atLeast"/>
        <w:ind w:firstLine="425"/>
        <w:jc w:val="both"/>
        <w:rPr>
          <w:sz w:val="28"/>
          <w:szCs w:val="28"/>
        </w:rPr>
      </w:pPr>
      <w:r>
        <w:rPr>
          <w:sz w:val="28"/>
          <w:szCs w:val="28"/>
        </w:rPr>
        <w:t>Dự thảo Nghị quyết không quy định thủ tục riêng theo thành phần dân tộc</w:t>
      </w:r>
      <w:r w:rsidR="00997EA2">
        <w:rPr>
          <w:sz w:val="28"/>
          <w:szCs w:val="28"/>
        </w:rPr>
        <w:t>. Các quy định đều tạo điều kiện để các cá nhân, hộ gia đình, trong đó có cả cá nhân, hộ gia đình vùng sâu, vùng xa được tiếp cận chính sách. Qua rà soát, dự thảo không làm phát sinh nghĩa vụ hoặc chi phí riêng đối với đồng bào dân tộc thiểu số.</w:t>
      </w:r>
    </w:p>
    <w:p w14:paraId="1FCEF58C" w14:textId="1E192C97" w:rsidR="000721DB" w:rsidRPr="00F241F8" w:rsidRDefault="00000000" w:rsidP="000721DB">
      <w:pPr>
        <w:spacing w:before="120" w:after="120" w:line="300" w:lineRule="atLeast"/>
        <w:ind w:firstLine="425"/>
        <w:jc w:val="both"/>
        <w:rPr>
          <w:sz w:val="28"/>
          <w:szCs w:val="28"/>
        </w:rPr>
      </w:pPr>
      <w:r w:rsidRPr="00F241F8">
        <w:rPr>
          <w:b/>
          <w:bCs/>
          <w:sz w:val="28"/>
          <w:szCs w:val="28"/>
        </w:rPr>
        <w:t>I</w:t>
      </w:r>
      <w:r w:rsidR="00997EA2">
        <w:rPr>
          <w:b/>
          <w:bCs/>
          <w:sz w:val="28"/>
          <w:szCs w:val="28"/>
        </w:rPr>
        <w:t>I</w:t>
      </w:r>
      <w:r w:rsidRPr="00F241F8">
        <w:rPr>
          <w:b/>
          <w:bCs/>
          <w:sz w:val="28"/>
          <w:szCs w:val="28"/>
        </w:rPr>
        <w:t>I. KẾT LUẬN</w:t>
      </w:r>
    </w:p>
    <w:p w14:paraId="17A85746" w14:textId="77777777" w:rsidR="000721DB" w:rsidRPr="00F241F8" w:rsidRDefault="00000000" w:rsidP="000721DB">
      <w:pPr>
        <w:spacing w:before="120" w:after="120" w:line="300" w:lineRule="atLeast"/>
        <w:ind w:firstLine="425"/>
        <w:jc w:val="both"/>
        <w:rPr>
          <w:sz w:val="28"/>
          <w:szCs w:val="28"/>
        </w:rPr>
      </w:pPr>
      <w:r w:rsidRPr="00F241F8">
        <w:rPr>
          <w:sz w:val="28"/>
          <w:szCs w:val="28"/>
        </w:rPr>
        <w:lastRenderedPageBreak/>
        <w:t>1. Dự thảo Nghị quyết quy định mức hỗ trợ chênh lệch lãi suất để hỗ trợ tín dụng đầu tư trồng rừng gỗ lớn trên địa bàn tỉnh Đắk Lắk không quy định thủ tục hành chính mới, không sửa đổi, bổ sung, bãi bỏ thủ tục hành chính đã được cấp có thẩm quyền công bố.</w:t>
      </w:r>
    </w:p>
    <w:p w14:paraId="593A5A25" w14:textId="77777777" w:rsidR="000721DB" w:rsidRPr="00F241F8" w:rsidRDefault="00000000" w:rsidP="000721DB">
      <w:pPr>
        <w:spacing w:before="120" w:after="120" w:line="300" w:lineRule="atLeast"/>
        <w:ind w:firstLine="425"/>
        <w:jc w:val="both"/>
        <w:rPr>
          <w:sz w:val="28"/>
          <w:szCs w:val="28"/>
        </w:rPr>
      </w:pPr>
      <w:r w:rsidRPr="00F241F8">
        <w:rPr>
          <w:sz w:val="28"/>
          <w:szCs w:val="28"/>
        </w:rPr>
        <w:t>2. Căn cứ khoản 4 Điều 14 Nghị định số 78/2025/NĐ-CP (được sửa đổi, bổ sung bởi Nghị định số 187/2025/NĐ-CP), do dự thảo Nghị quyết không có nội dung quy định thủ tục hành chính nên không thuộc trường hợp phải thực hiện đánh giá tác động thủ tục hành chính theo quy định của Bộ trưởng Bộ Tư pháp.</w:t>
      </w:r>
    </w:p>
    <w:p w14:paraId="7EEADFDA" w14:textId="62652B68" w:rsidR="007357A9" w:rsidRPr="00F241F8" w:rsidRDefault="00000000" w:rsidP="000721DB">
      <w:pPr>
        <w:spacing w:before="120" w:after="120" w:line="300" w:lineRule="atLeast"/>
        <w:ind w:firstLine="425"/>
        <w:jc w:val="both"/>
        <w:rPr>
          <w:sz w:val="28"/>
          <w:szCs w:val="28"/>
        </w:rPr>
      </w:pPr>
      <w:r w:rsidRPr="00F241F8">
        <w:rPr>
          <w:sz w:val="28"/>
          <w:szCs w:val="28"/>
        </w:rPr>
        <w:t xml:space="preserve">3. Trong quá trình tổ chức thực hiện, trường hợp phát sinh yêu cầu về trình tự, hồ sơ xác nhận đối tượng, điều kiện được hỗ trợ, Sở Nông nghiệp và Môi trường </w:t>
      </w:r>
      <w:r w:rsidR="00997EA2">
        <w:rPr>
          <w:sz w:val="28"/>
          <w:szCs w:val="28"/>
        </w:rPr>
        <w:t xml:space="preserve">sẽ </w:t>
      </w:r>
      <w:r w:rsidRPr="00F241F8">
        <w:rPr>
          <w:sz w:val="28"/>
          <w:szCs w:val="28"/>
        </w:rPr>
        <w:t>nghiên cứu, tham mưu quy định, công bố thủ tục hành chính (nếu có) theo đúng quy định pháp luật hiện hành và thực hiện đánh giá tác động thủ tục hành chính theo quy định.</w:t>
      </w:r>
    </w:p>
    <w:p w14:paraId="14B20D89" w14:textId="7A724176" w:rsidR="00F96AB8" w:rsidRPr="00F241F8" w:rsidRDefault="00F96AB8" w:rsidP="00F96AB8">
      <w:pPr>
        <w:spacing w:before="120" w:after="120" w:line="300" w:lineRule="atLeast"/>
        <w:ind w:firstLine="425"/>
        <w:jc w:val="both"/>
        <w:rPr>
          <w:sz w:val="28"/>
          <w:szCs w:val="28"/>
        </w:rPr>
      </w:pPr>
      <w:r w:rsidRPr="00F241F8">
        <w:rPr>
          <w:sz w:val="28"/>
          <w:szCs w:val="28"/>
        </w:rPr>
        <w:t xml:space="preserve"> </w:t>
      </w:r>
      <w:r w:rsidRPr="00F241F8">
        <w:rPr>
          <w:sz w:val="28"/>
          <w:szCs w:val="28"/>
          <w:lang w:val="fi-FI"/>
        </w:rPr>
        <w:t xml:space="preserve">Trên đây là Bản đánh giá thủ tục hành chính </w:t>
      </w:r>
      <w:r w:rsidRPr="00F241F8">
        <w:rPr>
          <w:sz w:val="28"/>
          <w:szCs w:val="28"/>
        </w:rPr>
        <w:t>trong Dự thảo Nghị quyết quy định mức hỗ trợ chênh lệch lãi suất để hỗ trợ tín dụng đầu tư trồng rừng gỗ lớn trên địa bàn tỉnh Đắk Lắk</w:t>
      </w:r>
      <w:r w:rsidRPr="00F241F8">
        <w:rPr>
          <w:sz w:val="28"/>
          <w:szCs w:val="28"/>
          <w:lang w:val="fi-FI"/>
        </w:rPr>
        <w:t>./.</w:t>
      </w:r>
    </w:p>
    <w:p w14:paraId="2FE213A6" w14:textId="77777777" w:rsidR="007357A9" w:rsidRDefault="007357A9"/>
    <w:tbl>
      <w:tblPr>
        <w:tblW w:w="5000" w:type="pct"/>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10"/>
        <w:gridCol w:w="5145"/>
      </w:tblGrid>
      <w:tr w:rsidR="007357A9" w14:paraId="12193214" w14:textId="77777777">
        <w:tc>
          <w:tcPr>
            <w:tcW w:w="2250" w:type="pct"/>
            <w:tcBorders>
              <w:top w:val="none" w:sz="0" w:space="0" w:color="FFFFFF"/>
              <w:left w:val="none" w:sz="0" w:space="0" w:color="FFFFFF"/>
              <w:bottom w:val="none" w:sz="0" w:space="0" w:color="FFFFFF"/>
              <w:right w:val="none" w:sz="0" w:space="0" w:color="FFFFFF"/>
            </w:tcBorders>
          </w:tcPr>
          <w:p w14:paraId="5F01880E" w14:textId="0DCF8B57" w:rsidR="007357A9" w:rsidRDefault="007357A9">
            <w:pPr>
              <w:spacing w:line="260" w:lineRule="atLeast"/>
            </w:pPr>
          </w:p>
        </w:tc>
        <w:tc>
          <w:tcPr>
            <w:tcW w:w="2750" w:type="pct"/>
            <w:tcBorders>
              <w:top w:val="none" w:sz="0" w:space="0" w:color="FFFFFF"/>
              <w:left w:val="none" w:sz="0" w:space="0" w:color="FFFFFF"/>
              <w:bottom w:val="none" w:sz="0" w:space="0" w:color="FFFFFF"/>
              <w:right w:val="none" w:sz="0" w:space="0" w:color="FFFFFF"/>
            </w:tcBorders>
          </w:tcPr>
          <w:p w14:paraId="6501D36F" w14:textId="121A1620" w:rsidR="007357A9" w:rsidRDefault="007357A9">
            <w:pPr>
              <w:jc w:val="center"/>
            </w:pPr>
          </w:p>
        </w:tc>
      </w:tr>
    </w:tbl>
    <w:p w14:paraId="6BA2DA31" w14:textId="77777777" w:rsidR="00263229" w:rsidRDefault="00263229"/>
    <w:sectPr w:rsidR="00263229" w:rsidSect="00D76AF4">
      <w:headerReference w:type="default" r:id="rId7"/>
      <w:pgSz w:w="11907" w:h="16840" w:code="9"/>
      <w:pgMar w:top="1134" w:right="851" w:bottom="1134"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CB3BC" w14:textId="77777777" w:rsidR="003A2A4B" w:rsidRDefault="003A2A4B" w:rsidP="00C24E19">
      <w:r>
        <w:separator/>
      </w:r>
    </w:p>
  </w:endnote>
  <w:endnote w:type="continuationSeparator" w:id="0">
    <w:p w14:paraId="5774AA8E" w14:textId="77777777" w:rsidR="003A2A4B" w:rsidRDefault="003A2A4B" w:rsidP="00C24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64884" w14:textId="77777777" w:rsidR="003A2A4B" w:rsidRDefault="003A2A4B" w:rsidP="00C24E19">
      <w:r>
        <w:separator/>
      </w:r>
    </w:p>
  </w:footnote>
  <w:footnote w:type="continuationSeparator" w:id="0">
    <w:p w14:paraId="6D0A0EA1" w14:textId="77777777" w:rsidR="003A2A4B" w:rsidRDefault="003A2A4B" w:rsidP="00C24E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6880271"/>
      <w:docPartObj>
        <w:docPartGallery w:val="Page Numbers (Top of Page)"/>
        <w:docPartUnique/>
      </w:docPartObj>
    </w:sdtPr>
    <w:sdtEndPr>
      <w:rPr>
        <w:noProof/>
      </w:rPr>
    </w:sdtEndPr>
    <w:sdtContent>
      <w:p w14:paraId="361D5089" w14:textId="091538F1" w:rsidR="00C24E19" w:rsidRDefault="00C24E1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6292C7F" w14:textId="77777777" w:rsidR="00C24E19" w:rsidRDefault="00C24E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961CB3"/>
    <w:multiLevelType w:val="hybridMultilevel"/>
    <w:tmpl w:val="4F2A78FC"/>
    <w:lvl w:ilvl="0" w:tplc="EC08933A">
      <w:start w:val="1"/>
      <w:numFmt w:val="bullet"/>
      <w:lvlText w:val="●"/>
      <w:lvlJc w:val="left"/>
      <w:pPr>
        <w:ind w:left="720" w:hanging="360"/>
      </w:pPr>
    </w:lvl>
    <w:lvl w:ilvl="1" w:tplc="854C26A2">
      <w:start w:val="1"/>
      <w:numFmt w:val="bullet"/>
      <w:lvlText w:val="○"/>
      <w:lvlJc w:val="left"/>
      <w:pPr>
        <w:ind w:left="1440" w:hanging="360"/>
      </w:pPr>
    </w:lvl>
    <w:lvl w:ilvl="2" w:tplc="8F60B748">
      <w:start w:val="1"/>
      <w:numFmt w:val="bullet"/>
      <w:lvlText w:val="■"/>
      <w:lvlJc w:val="left"/>
      <w:pPr>
        <w:ind w:left="2160" w:hanging="360"/>
      </w:pPr>
    </w:lvl>
    <w:lvl w:ilvl="3" w:tplc="E47AD334">
      <w:start w:val="1"/>
      <w:numFmt w:val="bullet"/>
      <w:lvlText w:val="●"/>
      <w:lvlJc w:val="left"/>
      <w:pPr>
        <w:ind w:left="2880" w:hanging="360"/>
      </w:pPr>
    </w:lvl>
    <w:lvl w:ilvl="4" w:tplc="2F1479A2">
      <w:start w:val="1"/>
      <w:numFmt w:val="bullet"/>
      <w:lvlText w:val="○"/>
      <w:lvlJc w:val="left"/>
      <w:pPr>
        <w:ind w:left="3600" w:hanging="360"/>
      </w:pPr>
    </w:lvl>
    <w:lvl w:ilvl="5" w:tplc="B0D2FA38">
      <w:start w:val="1"/>
      <w:numFmt w:val="bullet"/>
      <w:lvlText w:val="■"/>
      <w:lvlJc w:val="left"/>
      <w:pPr>
        <w:ind w:left="4320" w:hanging="360"/>
      </w:pPr>
    </w:lvl>
    <w:lvl w:ilvl="6" w:tplc="EFD6759C">
      <w:start w:val="1"/>
      <w:numFmt w:val="bullet"/>
      <w:lvlText w:val="●"/>
      <w:lvlJc w:val="left"/>
      <w:pPr>
        <w:ind w:left="5040" w:hanging="360"/>
      </w:pPr>
    </w:lvl>
    <w:lvl w:ilvl="7" w:tplc="53C41486">
      <w:start w:val="1"/>
      <w:numFmt w:val="bullet"/>
      <w:lvlText w:val="●"/>
      <w:lvlJc w:val="left"/>
      <w:pPr>
        <w:ind w:left="5760" w:hanging="360"/>
      </w:pPr>
    </w:lvl>
    <w:lvl w:ilvl="8" w:tplc="C5444A20">
      <w:start w:val="1"/>
      <w:numFmt w:val="bullet"/>
      <w:lvlText w:val="●"/>
      <w:lvlJc w:val="left"/>
      <w:pPr>
        <w:ind w:left="6480" w:hanging="360"/>
      </w:pPr>
    </w:lvl>
  </w:abstractNum>
  <w:abstractNum w:abstractNumId="1" w15:restartNumberingAfterBreak="0">
    <w:nsid w:val="514E5279"/>
    <w:multiLevelType w:val="hybridMultilevel"/>
    <w:tmpl w:val="8ACAF468"/>
    <w:lvl w:ilvl="0" w:tplc="65A04AF8">
      <w:start w:val="1"/>
      <w:numFmt w:val="decimal"/>
      <w:lvlText w:val="%1."/>
      <w:lvlJc w:val="left"/>
      <w:pPr>
        <w:ind w:left="785" w:hanging="360"/>
      </w:pPr>
      <w:rPr>
        <w:rFonts w:hint="default"/>
        <w:b/>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num w:numId="1" w16cid:durableId="688070505">
    <w:abstractNumId w:val="0"/>
    <w:lvlOverride w:ilvl="0">
      <w:startOverride w:val="1"/>
    </w:lvlOverride>
  </w:num>
  <w:num w:numId="2" w16cid:durableId="20345285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7A9"/>
    <w:rsid w:val="000721DB"/>
    <w:rsid w:val="000A0E45"/>
    <w:rsid w:val="001268FA"/>
    <w:rsid w:val="00263229"/>
    <w:rsid w:val="00274399"/>
    <w:rsid w:val="003A2A4B"/>
    <w:rsid w:val="003C1BCA"/>
    <w:rsid w:val="006418A3"/>
    <w:rsid w:val="007357A9"/>
    <w:rsid w:val="007B1F01"/>
    <w:rsid w:val="00801B6F"/>
    <w:rsid w:val="00997EA2"/>
    <w:rsid w:val="009D1615"/>
    <w:rsid w:val="00C24E19"/>
    <w:rsid w:val="00C46C81"/>
    <w:rsid w:val="00D76AF4"/>
    <w:rsid w:val="00D826BF"/>
    <w:rsid w:val="00DB7A14"/>
    <w:rsid w:val="00E75CBE"/>
    <w:rsid w:val="00EE2BF0"/>
    <w:rsid w:val="00F241F8"/>
    <w:rsid w:val="00F96A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E5D44"/>
  <w15:docId w15:val="{9A939C98-6939-4F0E-975B-FDAFA8F5E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uiPriority w:val="39"/>
    <w:rsid w:val="00EE2B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24E19"/>
    <w:pPr>
      <w:tabs>
        <w:tab w:val="center" w:pos="4680"/>
        <w:tab w:val="right" w:pos="9360"/>
      </w:tabs>
    </w:pPr>
  </w:style>
  <w:style w:type="character" w:customStyle="1" w:styleId="HeaderChar">
    <w:name w:val="Header Char"/>
    <w:basedOn w:val="DefaultParagraphFont"/>
    <w:link w:val="Header"/>
    <w:uiPriority w:val="99"/>
    <w:rsid w:val="00C24E19"/>
  </w:style>
  <w:style w:type="paragraph" w:styleId="Footer">
    <w:name w:val="footer"/>
    <w:basedOn w:val="Normal"/>
    <w:link w:val="FooterChar"/>
    <w:uiPriority w:val="99"/>
    <w:unhideWhenUsed/>
    <w:rsid w:val="00C24E19"/>
    <w:pPr>
      <w:tabs>
        <w:tab w:val="center" w:pos="4680"/>
        <w:tab w:val="right" w:pos="9360"/>
      </w:tabs>
    </w:pPr>
  </w:style>
  <w:style w:type="character" w:customStyle="1" w:styleId="FooterChar">
    <w:name w:val="Footer Char"/>
    <w:basedOn w:val="DefaultParagraphFont"/>
    <w:link w:val="Footer"/>
    <w:uiPriority w:val="99"/>
    <w:rsid w:val="00C24E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3</Pages>
  <Words>948</Words>
  <Characters>5408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Dell</cp:lastModifiedBy>
  <cp:revision>15</cp:revision>
  <dcterms:created xsi:type="dcterms:W3CDTF">2026-08-04T07:37:00Z</dcterms:created>
  <dcterms:modified xsi:type="dcterms:W3CDTF">2026-08-15T17:37:00Z</dcterms:modified>
</cp:coreProperties>
</file>