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38" w:type="pct"/>
        <w:tblInd w:w="-426" w:type="dxa"/>
        <w:tblCellMar>
          <w:left w:w="10" w:type="dxa"/>
          <w:right w:w="10" w:type="dxa"/>
        </w:tblCellMar>
        <w:tblLook w:val="0000" w:firstRow="0" w:lastRow="0" w:firstColumn="0" w:lastColumn="0" w:noHBand="0" w:noVBand="0"/>
      </w:tblPr>
      <w:tblGrid>
        <w:gridCol w:w="9800"/>
      </w:tblGrid>
      <w:tr w:rsidR="00A42C7C" w14:paraId="11E598AB" w14:textId="77777777" w:rsidTr="00A42C7C">
        <w:tc>
          <w:tcPr>
            <w:tcW w:w="5000" w:type="pct"/>
          </w:tcPr>
          <w:tbl>
            <w:tblPr>
              <w:tblStyle w:val="TableGrid"/>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5245"/>
            </w:tblGrid>
            <w:tr w:rsidR="00A42C7C" w14:paraId="588B9B7D" w14:textId="77777777" w:rsidTr="005F40D8">
              <w:tc>
                <w:tcPr>
                  <w:tcW w:w="4524" w:type="dxa"/>
                </w:tcPr>
                <w:p w14:paraId="31989FCA" w14:textId="4DE4EE0F" w:rsidR="00A42C7C" w:rsidRPr="005F40D8" w:rsidRDefault="00A42C7C" w:rsidP="006C23FD">
                  <w:pPr>
                    <w:jc w:val="center"/>
                    <w:rPr>
                      <w:sz w:val="24"/>
                      <w:szCs w:val="24"/>
                    </w:rPr>
                  </w:pPr>
                  <w:r w:rsidRPr="005F40D8">
                    <w:rPr>
                      <w:sz w:val="24"/>
                      <w:szCs w:val="24"/>
                    </w:rPr>
                    <w:t xml:space="preserve">UBND </w:t>
                  </w:r>
                  <w:r w:rsidRPr="005F40D8">
                    <w:rPr>
                      <w:sz w:val="24"/>
                      <w:szCs w:val="24"/>
                    </w:rPr>
                    <w:t>TỈNH ĐẮK LẮK</w:t>
                  </w:r>
                </w:p>
                <w:p w14:paraId="6AC4C6CE" w14:textId="757CF10C" w:rsidR="00A42C7C" w:rsidRPr="005F40D8" w:rsidRDefault="00A42C7C" w:rsidP="006C23FD">
                  <w:pPr>
                    <w:jc w:val="center"/>
                    <w:rPr>
                      <w:b/>
                      <w:bCs/>
                      <w:sz w:val="24"/>
                      <w:szCs w:val="24"/>
                    </w:rPr>
                  </w:pPr>
                  <w:r w:rsidRPr="005F40D8">
                    <w:rPr>
                      <w:b/>
                      <w:bCs/>
                      <w:sz w:val="24"/>
                      <w:szCs w:val="24"/>
                    </w:rPr>
                    <w:t>SỞ NÔNG NGHIỆP VÀ MÔI TRƯỜNG</w:t>
                  </w:r>
                </w:p>
                <w:p w14:paraId="4736C60C" w14:textId="26B14906" w:rsidR="00A42C7C" w:rsidRPr="002904B3" w:rsidRDefault="00A42C7C" w:rsidP="006C23FD">
                  <w:pPr>
                    <w:jc w:val="center"/>
                    <w:rPr>
                      <w:b/>
                      <w:bCs/>
                      <w:sz w:val="26"/>
                      <w:szCs w:val="26"/>
                    </w:rPr>
                  </w:pPr>
                  <w:r>
                    <w:rPr>
                      <w:b/>
                      <w:bCs/>
                      <w:noProof/>
                      <w:sz w:val="26"/>
                      <w:szCs w:val="26"/>
                    </w:rPr>
                    <mc:AlternateContent>
                      <mc:Choice Requires="wps">
                        <w:drawing>
                          <wp:anchor distT="0" distB="0" distL="114300" distR="114300" simplePos="0" relativeHeight="251665408" behindDoc="0" locked="0" layoutInCell="1" allowOverlap="1" wp14:anchorId="608278E6" wp14:editId="12CF8416">
                            <wp:simplePos x="0" y="0"/>
                            <wp:positionH relativeFrom="column">
                              <wp:posOffset>901065</wp:posOffset>
                            </wp:positionH>
                            <wp:positionV relativeFrom="paragraph">
                              <wp:posOffset>93345</wp:posOffset>
                            </wp:positionV>
                            <wp:extent cx="754380" cy="0"/>
                            <wp:effectExtent l="0" t="0" r="0" b="0"/>
                            <wp:wrapNone/>
                            <wp:docPr id="630590649" name="Straight Connector 2"/>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A44763"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0.95pt,7.35pt" to="130.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" strokecolor="#4472c4 [3204]" strokeweight=".5pt">
                            <v:stroke joinstyle="miter"/>
                          </v:line>
                        </w:pict>
                      </mc:Fallback>
                    </mc:AlternateContent>
                  </w:r>
                </w:p>
              </w:tc>
              <w:tc>
                <w:tcPr>
                  <w:tcW w:w="5245" w:type="dxa"/>
                </w:tcPr>
                <w:p w14:paraId="1B58A702" w14:textId="77777777" w:rsidR="00A42C7C" w:rsidRPr="005F40D8" w:rsidRDefault="00A42C7C" w:rsidP="005F40D8">
                  <w:pPr>
                    <w:jc w:val="center"/>
                    <w:rPr>
                      <w:b/>
                      <w:bCs/>
                      <w:sz w:val="24"/>
                      <w:szCs w:val="24"/>
                    </w:rPr>
                  </w:pPr>
                  <w:r w:rsidRPr="005F40D8">
                    <w:rPr>
                      <w:b/>
                      <w:bCs/>
                      <w:sz w:val="24"/>
                      <w:szCs w:val="24"/>
                    </w:rPr>
                    <w:t>CỘNG HÒA XÃ HỘI CHỦ NGHĨA VIỆT NAM</w:t>
                  </w:r>
                </w:p>
                <w:p w14:paraId="330BB9BD" w14:textId="77777777" w:rsidR="00A42C7C" w:rsidRPr="005F40D8" w:rsidRDefault="00A42C7C" w:rsidP="006C23FD">
                  <w:pPr>
                    <w:jc w:val="center"/>
                    <w:rPr>
                      <w:b/>
                      <w:bCs/>
                      <w:sz w:val="26"/>
                      <w:szCs w:val="26"/>
                    </w:rPr>
                  </w:pPr>
                  <w:r w:rsidRPr="005F40D8">
                    <w:rPr>
                      <w:b/>
                      <w:bCs/>
                      <w:sz w:val="26"/>
                      <w:szCs w:val="26"/>
                    </w:rPr>
                    <w:t>Độc lập – Tự do – Hạnh phúc</w:t>
                  </w:r>
                </w:p>
                <w:p w14:paraId="63E16279" w14:textId="6640280C" w:rsidR="00A42C7C" w:rsidRDefault="00A42C7C" w:rsidP="006C23FD">
                  <w:pPr>
                    <w:jc w:val="center"/>
                    <w:rPr>
                      <w:b/>
                      <w:bCs/>
                      <w:sz w:val="30"/>
                      <w:szCs w:val="30"/>
                    </w:rPr>
                  </w:pPr>
                  <w:r>
                    <w:rPr>
                      <w:b/>
                      <w:bCs/>
                      <w:noProof/>
                      <w:sz w:val="30"/>
                      <w:szCs w:val="30"/>
                    </w:rPr>
                    <mc:AlternateContent>
                      <mc:Choice Requires="wps">
                        <w:drawing>
                          <wp:anchor distT="0" distB="0" distL="114300" distR="114300" simplePos="0" relativeHeight="251666432" behindDoc="0" locked="0" layoutInCell="1" allowOverlap="1" wp14:anchorId="464D3936" wp14:editId="74597382">
                            <wp:simplePos x="0" y="0"/>
                            <wp:positionH relativeFrom="column">
                              <wp:posOffset>567055</wp:posOffset>
                            </wp:positionH>
                            <wp:positionV relativeFrom="paragraph">
                              <wp:posOffset>19685</wp:posOffset>
                            </wp:positionV>
                            <wp:extent cx="2080260" cy="7620"/>
                            <wp:effectExtent l="0" t="0" r="34290" b="30480"/>
                            <wp:wrapNone/>
                            <wp:docPr id="517993305" name="Straight Connector 5"/>
                            <wp:cNvGraphicFramePr/>
                            <a:graphic xmlns:a="http://schemas.openxmlformats.org/drawingml/2006/main">
                              <a:graphicData uri="http://schemas.microsoft.com/office/word/2010/wordprocessingShape">
                                <wps:wsp>
                                  <wps:cNvCnPr/>
                                  <wps:spPr>
                                    <a:xfrm flipV="1">
                                      <a:off x="0" y="0"/>
                                      <a:ext cx="208026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268251" id="Straight Connector 5" o:spid="_x0000_s1026"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65pt,1.55pt" to="208.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" strokecolor="#4472c4 [3204]" strokeweight=".5pt">
                            <v:stroke joinstyle="miter"/>
                          </v:line>
                        </w:pict>
                      </mc:Fallback>
                    </mc:AlternateContent>
                  </w:r>
                </w:p>
              </w:tc>
            </w:tr>
            <w:tr w:rsidR="00A42C7C" w14:paraId="4AD17E29" w14:textId="77777777" w:rsidTr="005F40D8">
              <w:tc>
                <w:tcPr>
                  <w:tcW w:w="4524" w:type="dxa"/>
                </w:tcPr>
                <w:p w14:paraId="7ED8FAF3" w14:textId="77777777" w:rsidR="00A42C7C" w:rsidRPr="002904B3" w:rsidRDefault="00A42C7C" w:rsidP="006C23FD">
                  <w:pPr>
                    <w:rPr>
                      <w:sz w:val="26"/>
                      <w:szCs w:val="26"/>
                    </w:rPr>
                  </w:pPr>
                </w:p>
              </w:tc>
              <w:tc>
                <w:tcPr>
                  <w:tcW w:w="5245" w:type="dxa"/>
                </w:tcPr>
                <w:p w14:paraId="652035BC" w14:textId="77777777" w:rsidR="00A42C7C" w:rsidRDefault="00A42C7C" w:rsidP="005F40D8">
                  <w:pPr>
                    <w:jc w:val="center"/>
                    <w:rPr>
                      <w:i/>
                      <w:iCs/>
                      <w:sz w:val="26"/>
                      <w:szCs w:val="26"/>
                    </w:rPr>
                  </w:pPr>
                  <w:r w:rsidRPr="002904B3">
                    <w:rPr>
                      <w:i/>
                      <w:iCs/>
                      <w:sz w:val="26"/>
                      <w:szCs w:val="26"/>
                    </w:rPr>
                    <w:t xml:space="preserve">Đắk Lắk, ngày  </w:t>
                  </w:r>
                  <w:r>
                    <w:rPr>
                      <w:i/>
                      <w:iCs/>
                      <w:sz w:val="26"/>
                      <w:szCs w:val="26"/>
                    </w:rPr>
                    <w:t xml:space="preserve"> </w:t>
                  </w:r>
                  <w:r w:rsidRPr="002904B3">
                    <w:rPr>
                      <w:i/>
                      <w:iCs/>
                      <w:sz w:val="26"/>
                      <w:szCs w:val="26"/>
                    </w:rPr>
                    <w:t xml:space="preserve"> </w:t>
                  </w:r>
                  <w:r>
                    <w:rPr>
                      <w:i/>
                      <w:iCs/>
                      <w:sz w:val="26"/>
                      <w:szCs w:val="26"/>
                    </w:rPr>
                    <w:t xml:space="preserve"> </w:t>
                  </w:r>
                  <w:r w:rsidRPr="002904B3">
                    <w:rPr>
                      <w:i/>
                      <w:iCs/>
                      <w:sz w:val="26"/>
                      <w:szCs w:val="26"/>
                    </w:rPr>
                    <w:t xml:space="preserve">  tháng   </w:t>
                  </w:r>
                  <w:r>
                    <w:rPr>
                      <w:i/>
                      <w:iCs/>
                      <w:sz w:val="26"/>
                      <w:szCs w:val="26"/>
                    </w:rPr>
                    <w:t xml:space="preserve">  </w:t>
                  </w:r>
                  <w:r w:rsidRPr="002904B3">
                    <w:rPr>
                      <w:i/>
                      <w:iCs/>
                      <w:sz w:val="26"/>
                      <w:szCs w:val="26"/>
                    </w:rPr>
                    <w:t xml:space="preserve"> năm 2026</w:t>
                  </w:r>
                </w:p>
                <w:p w14:paraId="1FBA5812" w14:textId="77777777" w:rsidR="00A42C7C" w:rsidRPr="002904B3" w:rsidRDefault="00A42C7C" w:rsidP="006C23FD">
                  <w:pPr>
                    <w:jc w:val="center"/>
                    <w:rPr>
                      <w:i/>
                      <w:iCs/>
                      <w:sz w:val="26"/>
                      <w:szCs w:val="26"/>
                    </w:rPr>
                  </w:pPr>
                </w:p>
              </w:tc>
            </w:tr>
          </w:tbl>
          <w:p w14:paraId="61E1B9A4" w14:textId="77777777" w:rsidR="00A42C7C" w:rsidRDefault="00A42C7C" w:rsidP="006C23FD">
            <w:pPr>
              <w:spacing w:before="200"/>
              <w:jc w:val="center"/>
            </w:pPr>
          </w:p>
        </w:tc>
      </w:tr>
    </w:tbl>
    <w:p w14:paraId="41DE1762" w14:textId="77777777" w:rsidR="00126E59" w:rsidRDefault="00126E59"/>
    <w:p w14:paraId="0033ECB0" w14:textId="77777777" w:rsidR="00126E59" w:rsidRPr="00867552" w:rsidRDefault="00000000" w:rsidP="00867552">
      <w:pPr>
        <w:jc w:val="center"/>
        <w:rPr>
          <w:b/>
          <w:bCs/>
          <w:sz w:val="28"/>
          <w:szCs w:val="28"/>
        </w:rPr>
      </w:pPr>
      <w:r w:rsidRPr="00867552">
        <w:rPr>
          <w:b/>
          <w:bCs/>
          <w:sz w:val="28"/>
          <w:szCs w:val="28"/>
        </w:rPr>
        <w:t>BẢN THUYẾT MINH</w:t>
      </w:r>
    </w:p>
    <w:p w14:paraId="228AB414" w14:textId="420E35AB" w:rsidR="00867552" w:rsidRDefault="0079491F" w:rsidP="00867552">
      <w:pPr>
        <w:jc w:val="center"/>
        <w:rPr>
          <w:b/>
          <w:bCs/>
          <w:sz w:val="28"/>
          <w:szCs w:val="28"/>
        </w:rPr>
      </w:pPr>
      <w:r>
        <w:rPr>
          <w:b/>
          <w:bCs/>
          <w:sz w:val="28"/>
          <w:szCs w:val="28"/>
        </w:rPr>
        <w:t xml:space="preserve">NỘI DUNG </w:t>
      </w:r>
      <w:r w:rsidR="00867552" w:rsidRPr="00867552">
        <w:rPr>
          <w:b/>
          <w:bCs/>
          <w:sz w:val="28"/>
          <w:szCs w:val="28"/>
        </w:rPr>
        <w:t>DỰ THẢO NGHỊ QUYẾT QUY ĐỊNH MỨC HỖ TRỢ CHÊNH LỆCH LÃI SUẤT ĐỂ HỖ TRỢ TÍN DỤNG ĐẦU TƯ TRỒNG RỪNG GỖ LỚN TRÊN ĐỊA BÀN TỈNH ĐẮK LẮK</w:t>
      </w:r>
    </w:p>
    <w:p w14:paraId="054F1A12" w14:textId="30FCD8C8" w:rsidR="0005240E" w:rsidRPr="00867552" w:rsidRDefault="0005240E" w:rsidP="00867552">
      <w:pPr>
        <w:jc w:val="center"/>
        <w:rPr>
          <w:sz w:val="28"/>
          <w:szCs w:val="28"/>
        </w:rPr>
      </w:pPr>
      <w:r>
        <w:rPr>
          <w:noProof/>
          <w:sz w:val="28"/>
          <w:szCs w:val="28"/>
        </w:rPr>
        <mc:AlternateContent>
          <mc:Choice Requires="wps">
            <w:drawing>
              <wp:anchor distT="0" distB="0" distL="114300" distR="114300" simplePos="0" relativeHeight="251662336" behindDoc="0" locked="0" layoutInCell="1" allowOverlap="1" wp14:anchorId="6F153344" wp14:editId="000EC93A">
                <wp:simplePos x="0" y="0"/>
                <wp:positionH relativeFrom="column">
                  <wp:posOffset>2074545</wp:posOffset>
                </wp:positionH>
                <wp:positionV relativeFrom="paragraph">
                  <wp:posOffset>127000</wp:posOffset>
                </wp:positionV>
                <wp:extent cx="1668780" cy="0"/>
                <wp:effectExtent l="0" t="0" r="0" b="0"/>
                <wp:wrapNone/>
                <wp:docPr id="1210352418" name="Straight Connector 1"/>
                <wp:cNvGraphicFramePr/>
                <a:graphic xmlns:a="http://schemas.openxmlformats.org/drawingml/2006/main">
                  <a:graphicData uri="http://schemas.microsoft.com/office/word/2010/wordprocessingShape">
                    <wps:wsp>
                      <wps:cNvCnPr/>
                      <wps:spPr>
                        <a:xfrm>
                          <a:off x="0" y="0"/>
                          <a:ext cx="1668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E0F888"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3.35pt,10pt" to="294.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" strokecolor="#4472c4 [3204]" strokeweight=".5pt">
                <v:stroke joinstyle="miter"/>
              </v:line>
            </w:pict>
          </mc:Fallback>
        </mc:AlternateContent>
      </w:r>
    </w:p>
    <w:p w14:paraId="38ECFD04" w14:textId="77777777" w:rsidR="00867552" w:rsidRDefault="00867552">
      <w:pPr>
        <w:spacing w:before="240" w:after="120"/>
        <w:jc w:val="both"/>
        <w:rPr>
          <w:b/>
          <w:bCs/>
          <w:sz w:val="28"/>
          <w:szCs w:val="28"/>
        </w:rPr>
      </w:pPr>
    </w:p>
    <w:p w14:paraId="2ED09828" w14:textId="77777777" w:rsidR="00867552" w:rsidRPr="00867552" w:rsidRDefault="00000000" w:rsidP="00867552">
      <w:pPr>
        <w:spacing w:before="120" w:after="120"/>
        <w:ind w:firstLine="425"/>
        <w:jc w:val="both"/>
        <w:rPr>
          <w:sz w:val="28"/>
          <w:szCs w:val="28"/>
        </w:rPr>
      </w:pPr>
      <w:r w:rsidRPr="00867552">
        <w:rPr>
          <w:b/>
          <w:bCs/>
          <w:sz w:val="28"/>
          <w:szCs w:val="28"/>
        </w:rPr>
        <w:t>I. SỰ CẦN THIẾT XÂY DỰNG NGHỊ QUYẾT</w:t>
      </w:r>
    </w:p>
    <w:p w14:paraId="27F87D9C" w14:textId="77777777" w:rsidR="00867552" w:rsidRPr="00867552" w:rsidRDefault="00000000" w:rsidP="00867552">
      <w:pPr>
        <w:spacing w:before="120" w:after="120"/>
        <w:ind w:firstLine="425"/>
        <w:jc w:val="both"/>
        <w:rPr>
          <w:sz w:val="28"/>
          <w:szCs w:val="28"/>
        </w:rPr>
      </w:pPr>
      <w:r w:rsidRPr="00867552">
        <w:rPr>
          <w:sz w:val="28"/>
          <w:szCs w:val="28"/>
        </w:rPr>
        <w:t>Khoản 2 Điều 15 Nghị định số 58/2024/NĐ-CP ngày 24 tháng 5 năm 2024 của Chính phủ về một số chính sách đầu tư trong lâm nghiệp quy định: đối với hộ gia đình, cá nhân trồng rừng sản xuất là rừng trồng gỗ lớn được ngân sách nhà nước hỗ trợ chênh lệch lãi suất vay thương mại so với lãi suất cho vay tín dụng đầu tư của Nhà nước, trong đó Hội đồng nhân dân cấp tỉnh quyết định mức hỗ trợ cụ thể phù hợp với điều kiện kinh tế - xã hội của địa phương. Đây là quy định giao thẩm quyền cho địa phương cụ thể hóa; tỉnh Đắk Lắk cần ban hành Nghị quyết để có cơ sở pháp lý triển khai thực hiện, đáp ứng nhu cầu vay vốn đầu tư trồng rừng gỗ lớn của người dân trên địa bàn.</w:t>
      </w:r>
    </w:p>
    <w:p w14:paraId="657FB7B5" w14:textId="5B1DF979" w:rsidR="00126E59" w:rsidRPr="00867552" w:rsidRDefault="00000000" w:rsidP="00867552">
      <w:pPr>
        <w:spacing w:before="120" w:after="120"/>
        <w:ind w:firstLine="425"/>
        <w:jc w:val="both"/>
        <w:rPr>
          <w:sz w:val="28"/>
          <w:szCs w:val="28"/>
        </w:rPr>
      </w:pPr>
      <w:r w:rsidRPr="00867552">
        <w:rPr>
          <w:b/>
          <w:bCs/>
          <w:sz w:val="28"/>
          <w:szCs w:val="28"/>
        </w:rPr>
        <w:t>II. CƠ SỞ PHÁP LÝ VÀ THẨM QUYỀN BAN HÀNH</w:t>
      </w:r>
    </w:p>
    <w:p w14:paraId="72446242" w14:textId="77777777" w:rsidR="00867552" w:rsidRPr="00867552" w:rsidRDefault="00000000" w:rsidP="00867552">
      <w:pPr>
        <w:spacing w:before="120" w:after="120"/>
        <w:ind w:firstLine="425"/>
        <w:jc w:val="both"/>
        <w:rPr>
          <w:sz w:val="28"/>
          <w:szCs w:val="28"/>
        </w:rPr>
      </w:pPr>
      <w:r w:rsidRPr="00867552">
        <w:rPr>
          <w:sz w:val="28"/>
          <w:szCs w:val="28"/>
        </w:rPr>
        <w:t>Nghị quyết được xây dựng trên cơ sở Luật Tổ chức chính quyền địa phương số 72/2025/QH15; Luật Ban hành văn bản quy phạm pháp luật số 64/2025/QH15 (sửa đổi, bổ sung bởi Luật số 87/2025/QH15); Luật Ngân sách nhà nước số 89/2025/QH15; Luật Lâm nghiệp số 16/2017/QH14 (sửa đổi, bổ sung); Nghị định số 58/2024/NĐ-CP và Nghị định số 42/2026/NĐ-CP của Chính phủ. Về thẩm quyền, khoản 2 Điều 15 Nghị định số 58/2024/NĐ-CP giao Hội đồng nhân dân cấp tỉnh quyết định mức hỗ trợ chênh lệch lãi suất cụ thể; đồng thời phù hợp với thẩm quyền quyết định các chính sách hỗ trợ, đầu tư từ ngân sách địa phương của Hội đồng nhân dân tỉnh theo Luật Tổ chức chính quyền địa phương và Luật Ngân sách nhà nước.</w:t>
      </w:r>
    </w:p>
    <w:p w14:paraId="0E0802E3" w14:textId="77777777" w:rsidR="00867552" w:rsidRPr="00867552" w:rsidRDefault="00000000" w:rsidP="00867552">
      <w:pPr>
        <w:spacing w:before="120" w:after="120"/>
        <w:ind w:firstLine="425"/>
        <w:jc w:val="both"/>
        <w:rPr>
          <w:sz w:val="28"/>
          <w:szCs w:val="28"/>
        </w:rPr>
      </w:pPr>
      <w:r w:rsidRPr="00867552">
        <w:rPr>
          <w:b/>
          <w:bCs/>
          <w:sz w:val="28"/>
          <w:szCs w:val="28"/>
        </w:rPr>
        <w:t>III. THUYẾT MINH NỘI DUNG TỪNG ĐIỀU CỦA DỰ THẢO NGHỊ QUYẾT</w:t>
      </w:r>
    </w:p>
    <w:p w14:paraId="6C8E9E23" w14:textId="279B5B3D" w:rsidR="00126E59" w:rsidRPr="00867552" w:rsidRDefault="00000000" w:rsidP="00867552">
      <w:pPr>
        <w:spacing w:before="120" w:after="120"/>
        <w:ind w:firstLine="425"/>
        <w:jc w:val="both"/>
        <w:rPr>
          <w:sz w:val="28"/>
          <w:szCs w:val="28"/>
        </w:rPr>
      </w:pPr>
      <w:r w:rsidRPr="00867552">
        <w:rPr>
          <w:b/>
          <w:bCs/>
          <w:sz w:val="28"/>
          <w:szCs w:val="28"/>
        </w:rPr>
        <w:t>Điều 1. Phạm vi điều chỉnh</w:t>
      </w:r>
    </w:p>
    <w:p w14:paraId="603F313A" w14:textId="77777777" w:rsidR="00867552" w:rsidRPr="00867552" w:rsidRDefault="00000000" w:rsidP="00867552">
      <w:pPr>
        <w:spacing w:before="120" w:after="120"/>
        <w:ind w:firstLine="425"/>
        <w:jc w:val="both"/>
        <w:rPr>
          <w:sz w:val="28"/>
          <w:szCs w:val="28"/>
        </w:rPr>
      </w:pPr>
      <w:r w:rsidRPr="00867552">
        <w:rPr>
          <w:sz w:val="28"/>
          <w:szCs w:val="28"/>
        </w:rPr>
        <w:t>Xác định rõ Nghị quyết chỉ quy định một nội dung duy nhất được giao tại điểm e khoản 2 Điều 15 Nghị định số 58/2024/NĐ-CP là mức hỗ trợ chênh lệch lãi suất tín dụng đầu tư trồng rừng gỗ lớn, tránh chồng lấn với các chính sách hỗ trợ lâm nghiệp khác đã hoặc sẽ được quy định tại các Nghị quyết khác của Hội đồng nhân dân tỉnh.</w:t>
      </w:r>
    </w:p>
    <w:p w14:paraId="6E3AF877" w14:textId="77777777" w:rsidR="00867552" w:rsidRPr="00867552" w:rsidRDefault="00000000" w:rsidP="00867552">
      <w:pPr>
        <w:spacing w:before="120" w:after="120"/>
        <w:ind w:firstLine="425"/>
        <w:jc w:val="both"/>
        <w:rPr>
          <w:sz w:val="28"/>
          <w:szCs w:val="28"/>
        </w:rPr>
      </w:pPr>
      <w:r w:rsidRPr="00867552">
        <w:rPr>
          <w:b/>
          <w:bCs/>
          <w:sz w:val="28"/>
          <w:szCs w:val="28"/>
        </w:rPr>
        <w:t>Điều 2. Đối tượng áp dụng</w:t>
      </w:r>
    </w:p>
    <w:p w14:paraId="27717376" w14:textId="77777777" w:rsidR="00867552" w:rsidRPr="00867552" w:rsidRDefault="00000000" w:rsidP="00867552">
      <w:pPr>
        <w:spacing w:before="120" w:after="120"/>
        <w:ind w:firstLine="425"/>
        <w:jc w:val="both"/>
        <w:rPr>
          <w:sz w:val="28"/>
          <w:szCs w:val="28"/>
        </w:rPr>
      </w:pPr>
      <w:r w:rsidRPr="00867552">
        <w:rPr>
          <w:sz w:val="28"/>
          <w:szCs w:val="28"/>
        </w:rPr>
        <w:lastRenderedPageBreak/>
        <w:t>Giới hạn đối tượng thụ hưởng là chủ rừng thuộc nhóm hộ gia đình, cá nhân (không bao gồm tổ chức) trồng rừng gỗ lớn trên đất lâm nghiệp được giao, được thuê hợp pháp trên địa bàn tỉnh, phù hợp với quy định tại Nghị định số 58/2024/NĐ-CP (chính sách hỗ trợ chênh lệch lãi suất theo Nghị định áp dụng cho hộ gia đình, cá nhân); đồng thời quy định nhóm cơ quan, tổ chức, cá nhân liên quan để bảo đảm cơ sở tổ chức thực hiện.</w:t>
      </w:r>
    </w:p>
    <w:p w14:paraId="2B7EE942" w14:textId="77777777" w:rsidR="00867552" w:rsidRPr="00867552" w:rsidRDefault="00000000" w:rsidP="00867552">
      <w:pPr>
        <w:spacing w:before="120" w:after="120"/>
        <w:ind w:firstLine="425"/>
        <w:jc w:val="both"/>
        <w:rPr>
          <w:sz w:val="28"/>
          <w:szCs w:val="28"/>
        </w:rPr>
      </w:pPr>
      <w:r w:rsidRPr="00867552">
        <w:rPr>
          <w:b/>
          <w:bCs/>
          <w:sz w:val="28"/>
          <w:szCs w:val="28"/>
        </w:rPr>
        <w:t>Điều 3. Mức hỗ trợ chênh lệch lãi suất</w:t>
      </w:r>
    </w:p>
    <w:p w14:paraId="609ABBD4" w14:textId="391D136C" w:rsidR="00867552" w:rsidRPr="00867552" w:rsidRDefault="00000000" w:rsidP="00867552">
      <w:pPr>
        <w:spacing w:before="120" w:after="120"/>
        <w:ind w:firstLine="425"/>
        <w:jc w:val="both"/>
        <w:rPr>
          <w:sz w:val="28"/>
          <w:szCs w:val="28"/>
        </w:rPr>
      </w:pPr>
      <w:r w:rsidRPr="00867552">
        <w:rPr>
          <w:sz w:val="28"/>
          <w:szCs w:val="28"/>
        </w:rPr>
        <w:t>- Khoản 1 xác định phương pháp tính mức hỗ trợ (chênh lệch giữa lãi suất vay thương mại và lãi suất cho vay tín dụng đầu tư của Nhà nước) và mức hỗ trợ cụ thể theo tỷ lệ %/năm</w:t>
      </w:r>
      <w:r w:rsidR="00867552" w:rsidRPr="00867552">
        <w:rPr>
          <w:sz w:val="28"/>
          <w:szCs w:val="28"/>
        </w:rPr>
        <w:t>, theo đó mức hỗ trợ bằng 100% mức chênh lệch lãi suất vay thương mại so với lãi suất cho vay tín dụng đầu tư của Nhà nước, tính trên số vốn vay dư nợ thực tế tại thời điểm xem xét hỗ trợ.</w:t>
      </w:r>
    </w:p>
    <w:p w14:paraId="72BF4184" w14:textId="77777777" w:rsidR="00867552" w:rsidRPr="00867552" w:rsidRDefault="00000000" w:rsidP="00867552">
      <w:pPr>
        <w:spacing w:before="120" w:after="120"/>
        <w:ind w:firstLine="425"/>
        <w:jc w:val="both"/>
        <w:rPr>
          <w:sz w:val="28"/>
          <w:szCs w:val="28"/>
        </w:rPr>
      </w:pPr>
      <w:r w:rsidRPr="00867552">
        <w:rPr>
          <w:sz w:val="28"/>
          <w:szCs w:val="28"/>
        </w:rPr>
        <w:t>- Khoản 2 quy định thời gian hỗ trợ tối đa 12 năm, tương ứng với chu kỳ kinh doanh phổ biến của rừng trồng gỗ lớn (trên 10 năm), bảo đảm hỗ trợ trong suốt giai đoạn đầu tư có nhu cầu vốn cao.</w:t>
      </w:r>
    </w:p>
    <w:p w14:paraId="1A0FE5CF" w14:textId="77777777" w:rsidR="00867552" w:rsidRPr="00867552" w:rsidRDefault="00000000" w:rsidP="00867552">
      <w:pPr>
        <w:spacing w:before="120" w:after="120"/>
        <w:ind w:firstLine="425"/>
        <w:jc w:val="both"/>
        <w:rPr>
          <w:sz w:val="28"/>
          <w:szCs w:val="28"/>
        </w:rPr>
      </w:pPr>
      <w:r w:rsidRPr="00867552">
        <w:rPr>
          <w:sz w:val="28"/>
          <w:szCs w:val="28"/>
        </w:rPr>
        <w:t>- Khoản 3 giới hạn mức vốn vay được hỗ trợ lãi suất không quá 70% tổng vốn vay, nhằm bảo đảm chủ rừng có trách nhiệm đối ứng, tránh trông chờ hoàn toàn vào hỗ trợ ngân sách, đồng thời phù hợp với thông lệ các chính sách tín dụng ưu đãi hiện hành.</w:t>
      </w:r>
    </w:p>
    <w:p w14:paraId="1DFF6FDC" w14:textId="1DC1420E" w:rsidR="00126E59" w:rsidRPr="00867552" w:rsidRDefault="00000000" w:rsidP="00867552">
      <w:pPr>
        <w:spacing w:before="120" w:after="120"/>
        <w:ind w:firstLine="425"/>
        <w:jc w:val="both"/>
        <w:rPr>
          <w:sz w:val="28"/>
          <w:szCs w:val="28"/>
        </w:rPr>
      </w:pPr>
      <w:r w:rsidRPr="00867552">
        <w:rPr>
          <w:b/>
          <w:bCs/>
          <w:sz w:val="28"/>
          <w:szCs w:val="28"/>
        </w:rPr>
        <w:t>Điều 4. Điều kiện được hỗ trợ chênh lệch lãi suất</w:t>
      </w:r>
    </w:p>
    <w:p w14:paraId="739B411D" w14:textId="77777777" w:rsidR="00867552" w:rsidRPr="00867552" w:rsidRDefault="00000000" w:rsidP="00867552">
      <w:pPr>
        <w:spacing w:before="120" w:after="120"/>
        <w:ind w:firstLine="425"/>
        <w:jc w:val="both"/>
        <w:rPr>
          <w:sz w:val="28"/>
          <w:szCs w:val="28"/>
        </w:rPr>
      </w:pPr>
      <w:r w:rsidRPr="00867552">
        <w:rPr>
          <w:sz w:val="28"/>
          <w:szCs w:val="28"/>
        </w:rPr>
        <w:t>Quy định điều kiện về tính hợp pháp của đất trồng rừng (được giao, được thuê, có giấy chứng nhận quyền sử dụng đất hoặc sử dụng đất ổn định theo pháp luật đất đai), không có tranh chấp, và nguyên tắc không hỗ trợ trùng lặp (chưa được hỗ trợ lãi suất, hỗ trợ khác từ ngân sách nhà nước đối với cùng nội dung, cùng khoản vay), nhằm bảo đảm sử dụng ngân sách đúng mục đích, đúng đối tượng, tránh trục lợi chính sách.</w:t>
      </w:r>
    </w:p>
    <w:p w14:paraId="363D193A" w14:textId="07F24059" w:rsidR="00126E59" w:rsidRPr="00867552" w:rsidRDefault="00000000" w:rsidP="00867552">
      <w:pPr>
        <w:spacing w:before="120" w:after="120"/>
        <w:ind w:firstLine="425"/>
        <w:jc w:val="both"/>
        <w:rPr>
          <w:sz w:val="28"/>
          <w:szCs w:val="28"/>
        </w:rPr>
      </w:pPr>
      <w:r w:rsidRPr="00867552">
        <w:rPr>
          <w:b/>
          <w:bCs/>
          <w:sz w:val="28"/>
          <w:szCs w:val="28"/>
        </w:rPr>
        <w:t>Điều 5. Điều khoản thi hành</w:t>
      </w:r>
    </w:p>
    <w:p w14:paraId="74EDCCDC" w14:textId="77777777" w:rsidR="00867552" w:rsidRPr="00867552" w:rsidRDefault="00000000" w:rsidP="00867552">
      <w:pPr>
        <w:spacing w:before="120" w:after="120"/>
        <w:ind w:firstLine="425"/>
        <w:jc w:val="both"/>
        <w:rPr>
          <w:sz w:val="28"/>
          <w:szCs w:val="28"/>
        </w:rPr>
      </w:pPr>
      <w:r w:rsidRPr="00867552">
        <w:rPr>
          <w:sz w:val="28"/>
          <w:szCs w:val="28"/>
        </w:rPr>
        <w:t>Quy định hiệu lực thi hành, trách nhiệm tổ chức thực hiện của Ủy ban nhân dân tỉnh, trách nhiệm giám sát của Thường trực, các Ban, Tổ đại biểu và đại biểu Hội đồng nhân dân tỉnh, và nguyên tắc áp dụng văn bản khi các văn bản được dẫn chiếu có sửa đổi, bổ sung, thay thế — bảo đảm tính linh hoạt, cập nhật của Nghị quyết trong quá trình tổ chức thực hiện lâu dài.</w:t>
      </w:r>
    </w:p>
    <w:p w14:paraId="365DEA27" w14:textId="77777777" w:rsidR="00867552" w:rsidRPr="00867552" w:rsidRDefault="00000000" w:rsidP="00867552">
      <w:pPr>
        <w:spacing w:before="120" w:after="120"/>
        <w:ind w:firstLine="425"/>
        <w:jc w:val="both"/>
        <w:rPr>
          <w:sz w:val="28"/>
          <w:szCs w:val="28"/>
        </w:rPr>
      </w:pPr>
      <w:r w:rsidRPr="00867552">
        <w:rPr>
          <w:b/>
          <w:bCs/>
          <w:sz w:val="28"/>
          <w:szCs w:val="28"/>
        </w:rPr>
        <w:t>IV. NHỮNG VẤN ĐỀ CÒN Ý KIẾN KHÁC NHAU (NẾU CÓ)</w:t>
      </w:r>
    </w:p>
    <w:p w14:paraId="07119E9A" w14:textId="77777777" w:rsidR="00867552" w:rsidRPr="00867552" w:rsidRDefault="00000000" w:rsidP="00867552">
      <w:pPr>
        <w:spacing w:before="120" w:after="120"/>
        <w:ind w:firstLine="425"/>
        <w:jc w:val="both"/>
        <w:rPr>
          <w:sz w:val="28"/>
          <w:szCs w:val="28"/>
        </w:rPr>
      </w:pPr>
      <w:r w:rsidRPr="00867552">
        <w:rPr>
          <w:sz w:val="28"/>
          <w:szCs w:val="28"/>
        </w:rPr>
        <w:t>Trong quá trình xây dựng dự thảo, không có ý kiến khác nhau giữa các cơ quan, đơn vị về nội dung, thể thức của dự thảo Nghị quyết.</w:t>
      </w:r>
    </w:p>
    <w:p w14:paraId="00238A16" w14:textId="011E6B93" w:rsidR="00126E59" w:rsidRPr="00867552" w:rsidRDefault="00000000" w:rsidP="00867552">
      <w:pPr>
        <w:spacing w:before="120" w:after="120"/>
        <w:ind w:firstLine="425"/>
        <w:jc w:val="both"/>
        <w:rPr>
          <w:sz w:val="28"/>
          <w:szCs w:val="28"/>
        </w:rPr>
      </w:pPr>
      <w:r w:rsidRPr="00867552">
        <w:rPr>
          <w:b/>
          <w:bCs/>
          <w:sz w:val="28"/>
          <w:szCs w:val="28"/>
        </w:rPr>
        <w:t>V. TÍNH THỐNG NHẤT, KHẢ THI CỦA DỰ THẢO NGHỊ QUYẾT</w:t>
      </w:r>
    </w:p>
    <w:p w14:paraId="6E752908" w14:textId="14D31C46" w:rsidR="00126E59" w:rsidRPr="00867552" w:rsidRDefault="00000000" w:rsidP="00867552">
      <w:pPr>
        <w:spacing w:before="120" w:after="120"/>
        <w:ind w:firstLine="425"/>
        <w:jc w:val="both"/>
        <w:rPr>
          <w:sz w:val="28"/>
          <w:szCs w:val="28"/>
        </w:rPr>
      </w:pPr>
      <w:r w:rsidRPr="00867552">
        <w:rPr>
          <w:sz w:val="28"/>
          <w:szCs w:val="28"/>
        </w:rPr>
        <w:t xml:space="preserve">Nội dung dự thảo Nghị quyết bảo đảm tính hợp hiến, hợp pháp, thống nhất với Nghị định số 58/2024/NĐ-CP và hệ thống pháp luật hiện hành; phù hợp với thẩm quyền của Hội đồng nhân dân cấp tỉnh; có tính khả thi cao, phù hợp với điều kiện </w:t>
      </w:r>
      <w:r w:rsidRPr="00867552">
        <w:rPr>
          <w:sz w:val="28"/>
          <w:szCs w:val="28"/>
        </w:rPr>
        <w:lastRenderedPageBreak/>
        <w:t>thực tiễn về diện tích, nhu cầu trồng rừng gỗ lớn của hộ gia đình, cá nhân trên địa bàn tỉnh Đắk Lắk</w:t>
      </w:r>
      <w:r w:rsidR="00633170">
        <w:rPr>
          <w:color w:val="EE0000"/>
          <w:sz w:val="28"/>
          <w:szCs w:val="28"/>
        </w:rPr>
        <w:t>.</w:t>
      </w:r>
    </w:p>
    <w:p w14:paraId="1FB41D35" w14:textId="307528F3" w:rsidR="00126E59" w:rsidRPr="00867552" w:rsidRDefault="00867552" w:rsidP="00867552">
      <w:pPr>
        <w:spacing w:before="120" w:after="120"/>
        <w:ind w:firstLine="425"/>
        <w:jc w:val="both"/>
        <w:rPr>
          <w:sz w:val="28"/>
          <w:szCs w:val="28"/>
        </w:rPr>
      </w:pPr>
      <w:r w:rsidRPr="00867552">
        <w:rPr>
          <w:sz w:val="28"/>
          <w:szCs w:val="28"/>
        </w:rPr>
        <w:t xml:space="preserve">Trên đây là bản thuyết minh </w:t>
      </w:r>
      <w:r w:rsidR="0005240E">
        <w:rPr>
          <w:sz w:val="28"/>
          <w:szCs w:val="28"/>
        </w:rPr>
        <w:t xml:space="preserve">nội dung </w:t>
      </w:r>
      <w:r w:rsidRPr="00867552">
        <w:rPr>
          <w:sz w:val="28"/>
          <w:szCs w:val="28"/>
        </w:rPr>
        <w:t>dự thảo Nghị quyết quy định mức hỗ trợ chênh lệch lãi suất để hỗ trợ tín dụng đầu tư trồng rừng gỗ lớn trên địa bàn tỉnh Đắk Lắk./.</w:t>
      </w:r>
    </w:p>
    <w:p w14:paraId="5BD14182" w14:textId="77777777" w:rsidR="00126E59" w:rsidRDefault="00126E59"/>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10"/>
        <w:gridCol w:w="5145"/>
      </w:tblGrid>
      <w:tr w:rsidR="00126E59" w14:paraId="487E260D" w14:textId="77777777">
        <w:tc>
          <w:tcPr>
            <w:tcW w:w="2250" w:type="pct"/>
            <w:tcBorders>
              <w:top w:val="none" w:sz="0" w:space="0" w:color="FFFFFF"/>
              <w:left w:val="none" w:sz="0" w:space="0" w:color="FFFFFF"/>
              <w:bottom w:val="none" w:sz="0" w:space="0" w:color="FFFFFF"/>
              <w:right w:val="none" w:sz="0" w:space="0" w:color="FFFFFF"/>
            </w:tcBorders>
          </w:tcPr>
          <w:p w14:paraId="68D0EDC8" w14:textId="5724A4ED" w:rsidR="00126E59" w:rsidRDefault="00126E59">
            <w:pPr>
              <w:spacing w:line="260" w:lineRule="atLeast"/>
            </w:pPr>
          </w:p>
        </w:tc>
        <w:tc>
          <w:tcPr>
            <w:tcW w:w="2750" w:type="pct"/>
            <w:tcBorders>
              <w:top w:val="none" w:sz="0" w:space="0" w:color="FFFFFF"/>
              <w:left w:val="none" w:sz="0" w:space="0" w:color="FFFFFF"/>
              <w:bottom w:val="none" w:sz="0" w:space="0" w:color="FFFFFF"/>
              <w:right w:val="none" w:sz="0" w:space="0" w:color="FFFFFF"/>
            </w:tcBorders>
          </w:tcPr>
          <w:p w14:paraId="4AC37C23" w14:textId="6141ACD9" w:rsidR="00126E59" w:rsidRDefault="00126E59">
            <w:pPr>
              <w:jc w:val="center"/>
            </w:pPr>
          </w:p>
        </w:tc>
      </w:tr>
    </w:tbl>
    <w:p w14:paraId="2A86AAAC" w14:textId="77777777" w:rsidR="000F78BD" w:rsidRDefault="000F78BD"/>
    <w:sectPr w:rsidR="000F78BD" w:rsidSect="005F40D8">
      <w:headerReference w:type="default" r:id="rId7"/>
      <w:pgSz w:w="11907" w:h="16840" w:code="9"/>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9F3A" w14:textId="77777777" w:rsidR="0061537C" w:rsidRDefault="0061537C" w:rsidP="009C5302">
      <w:r>
        <w:separator/>
      </w:r>
    </w:p>
  </w:endnote>
  <w:endnote w:type="continuationSeparator" w:id="0">
    <w:p w14:paraId="2913780D" w14:textId="77777777" w:rsidR="0061537C" w:rsidRDefault="0061537C" w:rsidP="009C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EB13" w14:textId="77777777" w:rsidR="0061537C" w:rsidRDefault="0061537C" w:rsidP="009C5302">
      <w:r>
        <w:separator/>
      </w:r>
    </w:p>
  </w:footnote>
  <w:footnote w:type="continuationSeparator" w:id="0">
    <w:p w14:paraId="693A0DE1" w14:textId="77777777" w:rsidR="0061537C" w:rsidRDefault="0061537C" w:rsidP="009C5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203275"/>
      <w:docPartObj>
        <w:docPartGallery w:val="Page Numbers (Top of Page)"/>
        <w:docPartUnique/>
      </w:docPartObj>
    </w:sdtPr>
    <w:sdtEndPr>
      <w:rPr>
        <w:noProof/>
      </w:rPr>
    </w:sdtEndPr>
    <w:sdtContent>
      <w:p w14:paraId="31E5D84B" w14:textId="7D8DB893" w:rsidR="009C5302" w:rsidRDefault="009C530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035ADC" w14:textId="77777777" w:rsidR="009C5302" w:rsidRDefault="009C5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E46"/>
    <w:multiLevelType w:val="hybridMultilevel"/>
    <w:tmpl w:val="2196D620"/>
    <w:lvl w:ilvl="0" w:tplc="1458BCE8">
      <w:start w:val="1"/>
      <w:numFmt w:val="bullet"/>
      <w:lvlText w:val="●"/>
      <w:lvlJc w:val="left"/>
      <w:pPr>
        <w:ind w:left="720" w:hanging="360"/>
      </w:pPr>
    </w:lvl>
    <w:lvl w:ilvl="1" w:tplc="BE02D926">
      <w:start w:val="1"/>
      <w:numFmt w:val="bullet"/>
      <w:lvlText w:val="○"/>
      <w:lvlJc w:val="left"/>
      <w:pPr>
        <w:ind w:left="1440" w:hanging="360"/>
      </w:pPr>
    </w:lvl>
    <w:lvl w:ilvl="2" w:tplc="2F44934E">
      <w:start w:val="1"/>
      <w:numFmt w:val="bullet"/>
      <w:lvlText w:val="■"/>
      <w:lvlJc w:val="left"/>
      <w:pPr>
        <w:ind w:left="2160" w:hanging="360"/>
      </w:pPr>
    </w:lvl>
    <w:lvl w:ilvl="3" w:tplc="8A681B58">
      <w:start w:val="1"/>
      <w:numFmt w:val="bullet"/>
      <w:lvlText w:val="●"/>
      <w:lvlJc w:val="left"/>
      <w:pPr>
        <w:ind w:left="2880" w:hanging="360"/>
      </w:pPr>
    </w:lvl>
    <w:lvl w:ilvl="4" w:tplc="5F16465E">
      <w:start w:val="1"/>
      <w:numFmt w:val="bullet"/>
      <w:lvlText w:val="○"/>
      <w:lvlJc w:val="left"/>
      <w:pPr>
        <w:ind w:left="3600" w:hanging="360"/>
      </w:pPr>
    </w:lvl>
    <w:lvl w:ilvl="5" w:tplc="0FEAE012">
      <w:start w:val="1"/>
      <w:numFmt w:val="bullet"/>
      <w:lvlText w:val="■"/>
      <w:lvlJc w:val="left"/>
      <w:pPr>
        <w:ind w:left="4320" w:hanging="360"/>
      </w:pPr>
    </w:lvl>
    <w:lvl w:ilvl="6" w:tplc="AFD62234">
      <w:start w:val="1"/>
      <w:numFmt w:val="bullet"/>
      <w:lvlText w:val="●"/>
      <w:lvlJc w:val="left"/>
      <w:pPr>
        <w:ind w:left="5040" w:hanging="360"/>
      </w:pPr>
    </w:lvl>
    <w:lvl w:ilvl="7" w:tplc="6B227AD2">
      <w:start w:val="1"/>
      <w:numFmt w:val="bullet"/>
      <w:lvlText w:val="●"/>
      <w:lvlJc w:val="left"/>
      <w:pPr>
        <w:ind w:left="5760" w:hanging="360"/>
      </w:pPr>
    </w:lvl>
    <w:lvl w:ilvl="8" w:tplc="2DBCF99E">
      <w:start w:val="1"/>
      <w:numFmt w:val="bullet"/>
      <w:lvlText w:val="●"/>
      <w:lvlJc w:val="left"/>
      <w:pPr>
        <w:ind w:left="6480" w:hanging="360"/>
      </w:pPr>
    </w:lvl>
  </w:abstractNum>
  <w:num w:numId="1" w16cid:durableId="930143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E59"/>
    <w:rsid w:val="0005240E"/>
    <w:rsid w:val="000F78BD"/>
    <w:rsid w:val="00126E59"/>
    <w:rsid w:val="00172355"/>
    <w:rsid w:val="001F06D9"/>
    <w:rsid w:val="005F40D8"/>
    <w:rsid w:val="0061537C"/>
    <w:rsid w:val="00633170"/>
    <w:rsid w:val="0079491F"/>
    <w:rsid w:val="00867552"/>
    <w:rsid w:val="009732EF"/>
    <w:rsid w:val="009C5302"/>
    <w:rsid w:val="00A42C7C"/>
    <w:rsid w:val="00CE21FF"/>
    <w:rsid w:val="00DB7A14"/>
    <w:rsid w:val="00E75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4E99"/>
  <w15:docId w15:val="{9A939C98-6939-4F0E-975B-FDAFA8F5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867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302"/>
    <w:pPr>
      <w:tabs>
        <w:tab w:val="center" w:pos="4680"/>
        <w:tab w:val="right" w:pos="9360"/>
      </w:tabs>
    </w:pPr>
  </w:style>
  <w:style w:type="character" w:customStyle="1" w:styleId="HeaderChar">
    <w:name w:val="Header Char"/>
    <w:basedOn w:val="DefaultParagraphFont"/>
    <w:link w:val="Header"/>
    <w:uiPriority w:val="99"/>
    <w:rsid w:val="009C5302"/>
  </w:style>
  <w:style w:type="paragraph" w:styleId="Footer">
    <w:name w:val="footer"/>
    <w:basedOn w:val="Normal"/>
    <w:link w:val="FooterChar"/>
    <w:uiPriority w:val="99"/>
    <w:unhideWhenUsed/>
    <w:rsid w:val="009C5302"/>
    <w:pPr>
      <w:tabs>
        <w:tab w:val="center" w:pos="4680"/>
        <w:tab w:val="right" w:pos="9360"/>
      </w:tabs>
    </w:pPr>
  </w:style>
  <w:style w:type="character" w:customStyle="1" w:styleId="FooterChar">
    <w:name w:val="Footer Char"/>
    <w:basedOn w:val="DefaultParagraphFont"/>
    <w:link w:val="Footer"/>
    <w:uiPriority w:val="99"/>
    <w:rsid w:val="009C5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10</cp:revision>
  <dcterms:created xsi:type="dcterms:W3CDTF">2026-08-04T07:38:00Z</dcterms:created>
  <dcterms:modified xsi:type="dcterms:W3CDTF">2026-08-15T17:37:00Z</dcterms:modified>
</cp:coreProperties>
</file>