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57" w:type="pct"/>
        <w:tblCellMar>
          <w:left w:w="0" w:type="dxa"/>
          <w:right w:w="0" w:type="dxa"/>
        </w:tblCellMar>
        <w:tblLook w:val="0000" w:firstRow="0" w:lastRow="0" w:firstColumn="0" w:lastColumn="0" w:noHBand="0" w:noVBand="0"/>
      </w:tblPr>
      <w:tblGrid>
        <w:gridCol w:w="5480"/>
        <w:gridCol w:w="10249"/>
      </w:tblGrid>
      <w:tr w:rsidR="0067528A" w:rsidRPr="006C1D2F" w14:paraId="09660154" w14:textId="77777777" w:rsidTr="00D12156">
        <w:trPr>
          <w:trHeight w:val="1132"/>
        </w:trPr>
        <w:tc>
          <w:tcPr>
            <w:tcW w:w="1742" w:type="pct"/>
            <w:shd w:val="clear" w:color="000000" w:fill="FFFFFF"/>
          </w:tcPr>
          <w:p w14:paraId="1E69A2F2" w14:textId="61E16D76" w:rsidR="0067528A" w:rsidRPr="006C1D2F" w:rsidRDefault="0067528A" w:rsidP="0037634E">
            <w:pPr>
              <w:autoSpaceDE w:val="0"/>
              <w:autoSpaceDN w:val="0"/>
              <w:adjustRightInd w:val="0"/>
              <w:jc w:val="center"/>
              <w:rPr>
                <w:rFonts w:cs="Times New Roman"/>
                <w:sz w:val="26"/>
                <w:szCs w:val="26"/>
              </w:rPr>
            </w:pPr>
            <w:r w:rsidRPr="006C1D2F">
              <w:rPr>
                <w:rFonts w:cs="Times New Roman"/>
                <w:sz w:val="26"/>
                <w:szCs w:val="26"/>
              </w:rPr>
              <w:t>UBND TỈNH ĐẮK LẮK</w:t>
            </w:r>
          </w:p>
          <w:p w14:paraId="3F0489D9" w14:textId="77777777" w:rsidR="003C677A" w:rsidRDefault="0067528A" w:rsidP="0037634E">
            <w:pPr>
              <w:autoSpaceDE w:val="0"/>
              <w:autoSpaceDN w:val="0"/>
              <w:adjustRightInd w:val="0"/>
              <w:jc w:val="center"/>
              <w:rPr>
                <w:rFonts w:cs="Times New Roman"/>
                <w:b/>
                <w:bCs/>
                <w:sz w:val="26"/>
                <w:szCs w:val="26"/>
              </w:rPr>
            </w:pPr>
            <w:r w:rsidRPr="006C1D2F">
              <w:rPr>
                <w:rFonts w:cs="Times New Roman"/>
                <w:b/>
                <w:bCs/>
                <w:sz w:val="26"/>
                <w:szCs w:val="26"/>
              </w:rPr>
              <w:t>SỞ CÔNG THƯƠNG</w:t>
            </w:r>
          </w:p>
          <w:p w14:paraId="559CEACA" w14:textId="20312C33" w:rsidR="0067528A" w:rsidRPr="006C1D2F" w:rsidRDefault="009910F2" w:rsidP="0037634E">
            <w:pPr>
              <w:autoSpaceDE w:val="0"/>
              <w:autoSpaceDN w:val="0"/>
              <w:adjustRightInd w:val="0"/>
              <w:jc w:val="center"/>
              <w:rPr>
                <w:rFonts w:cs="Times New Roman"/>
                <w:sz w:val="26"/>
                <w:szCs w:val="26"/>
                <w:lang w:val="en"/>
              </w:rPr>
            </w:pPr>
            <w:r>
              <w:rPr>
                <w:rFonts w:cs="Times New Roman"/>
                <w:noProof/>
                <w:sz w:val="26"/>
                <w:szCs w:val="26"/>
              </w:rPr>
              <mc:AlternateContent>
                <mc:Choice Requires="wps">
                  <w:drawing>
                    <wp:anchor distT="0" distB="0" distL="114300" distR="114300" simplePos="0" relativeHeight="251659264" behindDoc="0" locked="0" layoutInCell="1" allowOverlap="1" wp14:anchorId="00955F08" wp14:editId="62E37091">
                      <wp:simplePos x="0" y="0"/>
                      <wp:positionH relativeFrom="column">
                        <wp:posOffset>1294765</wp:posOffset>
                      </wp:positionH>
                      <wp:positionV relativeFrom="paragraph">
                        <wp:posOffset>78423</wp:posOffset>
                      </wp:positionV>
                      <wp:extent cx="707390" cy="81280"/>
                      <wp:effectExtent l="0" t="0" r="0" b="0"/>
                      <wp:wrapNone/>
                      <wp:docPr id="8"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7390" cy="81280"/>
                              </a:xfrm>
                              <a:custGeom>
                                <a:avLst/>
                                <a:gdLst>
                                  <a:gd name="T0" fmla="*/ 0 w 3404"/>
                                  <a:gd name="T1" fmla="*/ 0 h 1"/>
                                  <a:gd name="T2" fmla="*/ 3404 w 3404"/>
                                  <a:gd name="T3" fmla="*/ 0 h 1"/>
                                </a:gdLst>
                                <a:ahLst/>
                                <a:cxnLst>
                                  <a:cxn ang="0">
                                    <a:pos x="T0" y="T1"/>
                                  </a:cxn>
                                  <a:cxn ang="0">
                                    <a:pos x="T2" y="T3"/>
                                  </a:cxn>
                                </a:cxnLst>
                                <a:rect l="0" t="0" r="r" b="b"/>
                                <a:pathLst>
                                  <a:path w="3404" h="1">
                                    <a:moveTo>
                                      <a:pt x="0" y="0"/>
                                    </a:moveTo>
                                    <a:lnTo>
                                      <a:pt x="340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1A51" id="Freeform: Shape 8" o:spid="_x0000_s1026" style="position:absolute;margin-left:101.95pt;margin-top:6.2pt;width:55.7pt;height:6.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" path="m,l3404,e" filled="f" strokeweight=".5pt">
                      <v:path arrowok="t" o:connecttype="custom" o:connectlocs="0,0;707390,0" o:connectangles="0,0"/>
                    </v:shape>
                  </w:pict>
                </mc:Fallback>
              </mc:AlternateContent>
            </w:r>
          </w:p>
        </w:tc>
        <w:tc>
          <w:tcPr>
            <w:tcW w:w="3258" w:type="pct"/>
            <w:shd w:val="clear" w:color="000000" w:fill="FFFFFF"/>
          </w:tcPr>
          <w:p w14:paraId="7FE82F28" w14:textId="7BA2A6BF" w:rsidR="0067528A" w:rsidRPr="006C1D2F" w:rsidRDefault="009910F2" w:rsidP="0037634E">
            <w:pPr>
              <w:autoSpaceDE w:val="0"/>
              <w:autoSpaceDN w:val="0"/>
              <w:adjustRightInd w:val="0"/>
              <w:jc w:val="center"/>
              <w:rPr>
                <w:rFonts w:cs="Times New Roman"/>
                <w:sz w:val="26"/>
                <w:szCs w:val="26"/>
                <w:lang w:val="en"/>
              </w:rPr>
            </w:pPr>
            <w:r>
              <w:rPr>
                <w:rFonts w:cs="Times New Roman"/>
                <w:b/>
                <w:bCs/>
                <w:noProof/>
                <w:sz w:val="26"/>
                <w:szCs w:val="26"/>
                <w:lang w:val="en"/>
              </w:rPr>
              <mc:AlternateContent>
                <mc:Choice Requires="wps">
                  <w:drawing>
                    <wp:anchor distT="0" distB="0" distL="114300" distR="114300" simplePos="0" relativeHeight="251658240" behindDoc="0" locked="0" layoutInCell="1" allowOverlap="1" wp14:anchorId="7D6B6542" wp14:editId="17E757AD">
                      <wp:simplePos x="0" y="0"/>
                      <wp:positionH relativeFrom="column">
                        <wp:posOffset>2208847</wp:posOffset>
                      </wp:positionH>
                      <wp:positionV relativeFrom="paragraph">
                        <wp:posOffset>454343</wp:posOffset>
                      </wp:positionV>
                      <wp:extent cx="2130425" cy="59690"/>
                      <wp:effectExtent l="0" t="0" r="0" b="0"/>
                      <wp:wrapNone/>
                      <wp:docPr id="11" name="Freeform: 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0425" cy="59690"/>
                              </a:xfrm>
                              <a:custGeom>
                                <a:avLst/>
                                <a:gdLst>
                                  <a:gd name="T0" fmla="*/ 0 w 3404"/>
                                  <a:gd name="T1" fmla="*/ 0 h 1"/>
                                  <a:gd name="T2" fmla="*/ 3404 w 3404"/>
                                  <a:gd name="T3" fmla="*/ 0 h 1"/>
                                </a:gdLst>
                                <a:ahLst/>
                                <a:cxnLst>
                                  <a:cxn ang="0">
                                    <a:pos x="T0" y="T1"/>
                                  </a:cxn>
                                  <a:cxn ang="0">
                                    <a:pos x="T2" y="T3"/>
                                  </a:cxn>
                                </a:cxnLst>
                                <a:rect l="0" t="0" r="r" b="b"/>
                                <a:pathLst>
                                  <a:path w="3404" h="1">
                                    <a:moveTo>
                                      <a:pt x="0" y="0"/>
                                    </a:moveTo>
                                    <a:lnTo>
                                      <a:pt x="340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CACE1" id="Freeform: Shape 11" o:spid="_x0000_s1026" style="position:absolute;margin-left:173.9pt;margin-top:35.8pt;width:167.75pt;height: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" path="m,l3404,e" filled="f" strokeweight=".5pt">
                      <v:path arrowok="t" o:connecttype="custom" o:connectlocs="0,0;2130425,0" o:connectangles="0,0"/>
                    </v:shape>
                  </w:pict>
                </mc:Fallback>
              </mc:AlternateContent>
            </w:r>
            <w:r w:rsidR="0067528A" w:rsidRPr="006C1D2F">
              <w:rPr>
                <w:rFonts w:cs="Times New Roman"/>
                <w:b/>
                <w:bCs/>
                <w:sz w:val="26"/>
                <w:szCs w:val="26"/>
                <w:lang w:val="en"/>
              </w:rPr>
              <w:t>C</w:t>
            </w:r>
            <w:r w:rsidR="0067528A" w:rsidRPr="006C1D2F">
              <w:rPr>
                <w:rFonts w:cs="Times New Roman"/>
                <w:b/>
                <w:bCs/>
                <w:sz w:val="26"/>
                <w:szCs w:val="26"/>
              </w:rPr>
              <w:t>ỘNG HÒA XÃ HỘI CHỦ NGHĨA VIỆT NAM</w:t>
            </w:r>
            <w:r w:rsidR="0067528A" w:rsidRPr="006C1D2F">
              <w:rPr>
                <w:rFonts w:cs="Times New Roman"/>
                <w:b/>
                <w:bCs/>
                <w:sz w:val="26"/>
                <w:szCs w:val="26"/>
              </w:rPr>
              <w:br/>
              <w:t xml:space="preserve">Độc lập - Tự do - Hạnh phúc </w:t>
            </w:r>
            <w:r w:rsidR="0067528A" w:rsidRPr="006C1D2F">
              <w:rPr>
                <w:rFonts w:cs="Times New Roman"/>
                <w:b/>
                <w:bCs/>
                <w:sz w:val="26"/>
                <w:szCs w:val="26"/>
              </w:rPr>
              <w:br/>
            </w:r>
          </w:p>
        </w:tc>
      </w:tr>
      <w:tr w:rsidR="0067528A" w:rsidRPr="006C1D2F" w14:paraId="5EB1D7DD" w14:textId="77777777" w:rsidTr="00D12156">
        <w:tc>
          <w:tcPr>
            <w:tcW w:w="1742" w:type="pct"/>
            <w:shd w:val="clear" w:color="000000" w:fill="FFFFFF"/>
          </w:tcPr>
          <w:p w14:paraId="294DA74B" w14:textId="4C585B62" w:rsidR="0067528A" w:rsidRPr="006C1D2F" w:rsidRDefault="0067528A" w:rsidP="00D12156">
            <w:pPr>
              <w:autoSpaceDE w:val="0"/>
              <w:autoSpaceDN w:val="0"/>
              <w:adjustRightInd w:val="0"/>
              <w:spacing w:before="120" w:line="276" w:lineRule="auto"/>
              <w:jc w:val="center"/>
              <w:rPr>
                <w:rFonts w:cs="Times New Roman"/>
                <w:b/>
                <w:bCs/>
                <w:sz w:val="26"/>
                <w:szCs w:val="26"/>
                <w:lang w:val="en"/>
              </w:rPr>
            </w:pPr>
          </w:p>
        </w:tc>
        <w:tc>
          <w:tcPr>
            <w:tcW w:w="3258" w:type="pct"/>
            <w:shd w:val="clear" w:color="000000" w:fill="FFFFFF"/>
          </w:tcPr>
          <w:p w14:paraId="2317AF6E" w14:textId="1836713B" w:rsidR="0067528A" w:rsidRPr="006C1D2F" w:rsidRDefault="0067528A" w:rsidP="003C677A">
            <w:pPr>
              <w:autoSpaceDE w:val="0"/>
              <w:autoSpaceDN w:val="0"/>
              <w:adjustRightInd w:val="0"/>
              <w:jc w:val="center"/>
              <w:rPr>
                <w:rFonts w:cs="Times New Roman"/>
                <w:b/>
                <w:bCs/>
                <w:sz w:val="26"/>
                <w:szCs w:val="26"/>
                <w:lang w:val="en"/>
              </w:rPr>
            </w:pPr>
            <w:r w:rsidRPr="006C1D2F">
              <w:rPr>
                <w:rFonts w:cs="Times New Roman"/>
                <w:i/>
                <w:iCs/>
                <w:sz w:val="26"/>
                <w:szCs w:val="26"/>
                <w:lang w:val="en"/>
              </w:rPr>
              <w:t xml:space="preserve">Đắk Lắk, ngày          tháng </w:t>
            </w:r>
            <w:r w:rsidR="009910F2">
              <w:rPr>
                <w:rFonts w:cs="Times New Roman"/>
                <w:i/>
                <w:iCs/>
                <w:sz w:val="26"/>
                <w:szCs w:val="26"/>
                <w:lang w:val="en"/>
              </w:rPr>
              <w:t>8</w:t>
            </w:r>
            <w:r w:rsidRPr="006C1D2F">
              <w:rPr>
                <w:rFonts w:cs="Times New Roman"/>
                <w:i/>
                <w:iCs/>
                <w:sz w:val="26"/>
                <w:szCs w:val="26"/>
                <w:lang w:val="en"/>
              </w:rPr>
              <w:t xml:space="preserve"> năm 2026</w:t>
            </w:r>
          </w:p>
        </w:tc>
      </w:tr>
    </w:tbl>
    <w:p w14:paraId="625FB7AB" w14:textId="0B796B09" w:rsidR="0067528A" w:rsidRDefault="0067528A">
      <w:pPr>
        <w:jc w:val="center"/>
        <w:rPr>
          <w:b/>
          <w:sz w:val="28"/>
        </w:rPr>
      </w:pPr>
    </w:p>
    <w:p w14:paraId="48C0B3EA" w14:textId="411F21C7" w:rsidR="00B9072F" w:rsidRDefault="006A28D5">
      <w:pPr>
        <w:jc w:val="center"/>
      </w:pPr>
      <w:r>
        <w:rPr>
          <w:b/>
          <w:sz w:val="28"/>
        </w:rPr>
        <w:t>BẢN SO SÁNH, THUYẾT MINH</w:t>
      </w:r>
    </w:p>
    <w:p w14:paraId="23C30495" w14:textId="77777777" w:rsidR="00B9072F" w:rsidRDefault="006A28D5">
      <w:pPr>
        <w:jc w:val="center"/>
      </w:pPr>
      <w:r>
        <w:rPr>
          <w:b/>
          <w:sz w:val="26"/>
        </w:rPr>
        <w:t>DỰ THẢO QUYẾT ĐỊNH BAN HÀNH QUY CHẾ QUẢN LÝ</w:t>
      </w:r>
    </w:p>
    <w:p w14:paraId="0B93832D" w14:textId="77777777" w:rsidR="00B9072F" w:rsidRDefault="006A28D5">
      <w:pPr>
        <w:jc w:val="center"/>
      </w:pPr>
      <w:r>
        <w:rPr>
          <w:b/>
          <w:sz w:val="26"/>
        </w:rPr>
        <w:t>CỤM CÔNG NGHIỆP TRÊN ĐỊA BÀN TỈNH ĐẮK LẮK</w:t>
      </w:r>
    </w:p>
    <w:p w14:paraId="351C0DEB" w14:textId="5432AE3D" w:rsidR="00B9072F" w:rsidRPr="0067528A" w:rsidRDefault="006A28D5" w:rsidP="0067528A">
      <w:pPr>
        <w:spacing w:before="120"/>
        <w:jc w:val="center"/>
        <w:rPr>
          <w:i/>
          <w:sz w:val="28"/>
          <w:szCs w:val="28"/>
        </w:rPr>
      </w:pPr>
      <w:r w:rsidRPr="0067528A">
        <w:rPr>
          <w:i/>
          <w:sz w:val="28"/>
          <w:szCs w:val="28"/>
        </w:rPr>
        <w:t xml:space="preserve">(Kèm theo Công văn số   </w:t>
      </w:r>
      <w:r w:rsidR="00251B29">
        <w:rPr>
          <w:i/>
          <w:sz w:val="28"/>
          <w:szCs w:val="28"/>
        </w:rPr>
        <w:t xml:space="preserve">  </w:t>
      </w:r>
      <w:r w:rsidRPr="0067528A">
        <w:rPr>
          <w:i/>
          <w:sz w:val="28"/>
          <w:szCs w:val="28"/>
        </w:rPr>
        <w:t xml:space="preserve">    /SCT-QLCN ngày      tháng      năm 2026)</w:t>
      </w:r>
    </w:p>
    <w:p w14:paraId="52D1061A" w14:textId="77777777" w:rsidR="0067528A" w:rsidRPr="0067528A" w:rsidRDefault="0067528A" w:rsidP="0067528A">
      <w:pPr>
        <w:spacing w:before="120"/>
        <w:jc w:val="center"/>
        <w:rPr>
          <w:sz w:val="28"/>
          <w:szCs w:val="28"/>
        </w:rPr>
      </w:pPr>
    </w:p>
    <w:tbl>
      <w:tblPr>
        <w:tblStyle w:val="TableGrid"/>
        <w:tblW w:w="0" w:type="auto"/>
        <w:jc w:val="center"/>
        <w:tblLayout w:type="fixed"/>
        <w:tblLook w:val="04A0" w:firstRow="1" w:lastRow="0" w:firstColumn="1" w:lastColumn="0" w:noHBand="0" w:noVBand="1"/>
      </w:tblPr>
      <w:tblGrid>
        <w:gridCol w:w="5193"/>
        <w:gridCol w:w="3061"/>
        <w:gridCol w:w="5916"/>
      </w:tblGrid>
      <w:tr w:rsidR="00B9072F" w:rsidRPr="003C677A" w14:paraId="525D9D0D" w14:textId="77777777" w:rsidTr="00331EDA">
        <w:trPr>
          <w:tblHeader/>
          <w:jc w:val="center"/>
        </w:trPr>
        <w:tc>
          <w:tcPr>
            <w:tcW w:w="5193" w:type="dxa"/>
            <w:vAlign w:val="center"/>
          </w:tcPr>
          <w:p w14:paraId="104ECF89" w14:textId="77777777" w:rsidR="00B9072F" w:rsidRPr="003C677A" w:rsidRDefault="006A28D5" w:rsidP="00A14614">
            <w:pPr>
              <w:spacing w:before="120" w:after="120"/>
              <w:jc w:val="center"/>
              <w:rPr>
                <w:rFonts w:cs="Times New Roman"/>
                <w:sz w:val="28"/>
                <w:szCs w:val="28"/>
              </w:rPr>
            </w:pPr>
            <w:r w:rsidRPr="003C677A">
              <w:rPr>
                <w:rFonts w:cs="Times New Roman"/>
                <w:b/>
                <w:sz w:val="28"/>
                <w:szCs w:val="28"/>
              </w:rPr>
              <w:t>Quyết định số 22/2025/QĐ-UBND</w:t>
            </w:r>
          </w:p>
        </w:tc>
        <w:tc>
          <w:tcPr>
            <w:tcW w:w="3061" w:type="dxa"/>
            <w:vAlign w:val="center"/>
          </w:tcPr>
          <w:p w14:paraId="3A7C621C" w14:textId="77777777" w:rsidR="00B9072F" w:rsidRPr="003C677A" w:rsidRDefault="006A28D5" w:rsidP="00A14614">
            <w:pPr>
              <w:spacing w:before="120" w:after="120"/>
              <w:jc w:val="center"/>
              <w:rPr>
                <w:rFonts w:cs="Times New Roman"/>
                <w:sz w:val="28"/>
                <w:szCs w:val="28"/>
              </w:rPr>
            </w:pPr>
            <w:r w:rsidRPr="003C677A">
              <w:rPr>
                <w:rFonts w:cs="Times New Roman"/>
                <w:b/>
                <w:sz w:val="28"/>
                <w:szCs w:val="28"/>
              </w:rPr>
              <w:t>Dự thảo Quyết định, Quy chế năm 2026</w:t>
            </w:r>
          </w:p>
        </w:tc>
        <w:tc>
          <w:tcPr>
            <w:tcW w:w="5916" w:type="dxa"/>
            <w:vAlign w:val="center"/>
          </w:tcPr>
          <w:p w14:paraId="50CC8D82" w14:textId="77777777" w:rsidR="00B9072F" w:rsidRPr="003C677A" w:rsidRDefault="006A28D5" w:rsidP="00A14614">
            <w:pPr>
              <w:spacing w:before="120" w:after="120"/>
              <w:jc w:val="center"/>
              <w:rPr>
                <w:rFonts w:cs="Times New Roman"/>
                <w:sz w:val="28"/>
                <w:szCs w:val="28"/>
              </w:rPr>
            </w:pPr>
            <w:r w:rsidRPr="003C677A">
              <w:rPr>
                <w:rFonts w:cs="Times New Roman"/>
                <w:b/>
                <w:sz w:val="28"/>
                <w:szCs w:val="28"/>
              </w:rPr>
              <w:t>Thuyết minh</w:t>
            </w:r>
          </w:p>
        </w:tc>
      </w:tr>
      <w:tr w:rsidR="00B9072F" w:rsidRPr="003C677A" w14:paraId="13294340" w14:textId="77777777" w:rsidTr="00331EDA">
        <w:trPr>
          <w:trHeight w:val="3457"/>
          <w:jc w:val="center"/>
        </w:trPr>
        <w:tc>
          <w:tcPr>
            <w:tcW w:w="5193" w:type="dxa"/>
            <w:tcMar>
              <w:top w:w="100" w:type="dxa"/>
              <w:left w:w="90" w:type="dxa"/>
              <w:bottom w:w="100" w:type="dxa"/>
              <w:right w:w="90" w:type="dxa"/>
            </w:tcMar>
          </w:tcPr>
          <w:p w14:paraId="6C5ED9FB" w14:textId="2AF4106A" w:rsidR="00B9072F" w:rsidRPr="003C677A" w:rsidRDefault="003C677A">
            <w:pPr>
              <w:spacing w:line="252" w:lineRule="auto"/>
              <w:jc w:val="both"/>
              <w:rPr>
                <w:rFonts w:cs="Times New Roman"/>
                <w:bCs/>
                <w:sz w:val="28"/>
                <w:szCs w:val="28"/>
              </w:rPr>
            </w:pPr>
            <w:r w:rsidRPr="003C677A">
              <w:rPr>
                <w:rFonts w:cs="Times New Roman"/>
                <w:bCs/>
                <w:sz w:val="28"/>
                <w:szCs w:val="28"/>
              </w:rPr>
              <w:t xml:space="preserve">Quyết định số </w:t>
            </w:r>
            <w:r w:rsidR="006A28D5" w:rsidRPr="003C677A">
              <w:rPr>
                <w:rFonts w:cs="Times New Roman"/>
                <w:bCs/>
                <w:sz w:val="28"/>
                <w:szCs w:val="28"/>
              </w:rPr>
              <w:t>22/2025/QĐ-UBND</w:t>
            </w:r>
          </w:p>
        </w:tc>
        <w:tc>
          <w:tcPr>
            <w:tcW w:w="3061" w:type="dxa"/>
            <w:tcMar>
              <w:top w:w="100" w:type="dxa"/>
              <w:left w:w="90" w:type="dxa"/>
              <w:bottom w:w="100" w:type="dxa"/>
              <w:right w:w="90" w:type="dxa"/>
            </w:tcMar>
          </w:tcPr>
          <w:p w14:paraId="0DDD5F5C" w14:textId="781F516B" w:rsidR="00B9072F" w:rsidRPr="003C677A" w:rsidRDefault="003C677A">
            <w:pPr>
              <w:spacing w:line="252" w:lineRule="auto"/>
              <w:jc w:val="both"/>
              <w:rPr>
                <w:rFonts w:cs="Times New Roman"/>
                <w:bCs/>
                <w:sz w:val="28"/>
                <w:szCs w:val="28"/>
              </w:rPr>
            </w:pPr>
            <w:r w:rsidRPr="003C677A">
              <w:rPr>
                <w:rFonts w:cs="Times New Roman"/>
                <w:bCs/>
                <w:sz w:val="28"/>
                <w:szCs w:val="28"/>
              </w:rPr>
              <w:t>Dự thảo Quyết định năm 2026</w:t>
            </w:r>
          </w:p>
        </w:tc>
        <w:tc>
          <w:tcPr>
            <w:tcW w:w="5916" w:type="dxa"/>
            <w:tcMar>
              <w:top w:w="100" w:type="dxa"/>
              <w:left w:w="90" w:type="dxa"/>
              <w:bottom w:w="100" w:type="dxa"/>
              <w:right w:w="90" w:type="dxa"/>
            </w:tcMar>
          </w:tcPr>
          <w:p w14:paraId="009FF291" w14:textId="2E28DE7A" w:rsidR="00B9072F" w:rsidRPr="003C677A" w:rsidRDefault="006A28D5">
            <w:pPr>
              <w:spacing w:line="252" w:lineRule="auto"/>
              <w:jc w:val="both"/>
              <w:rPr>
                <w:rFonts w:cs="Times New Roman"/>
                <w:sz w:val="28"/>
                <w:szCs w:val="28"/>
              </w:rPr>
            </w:pPr>
            <w:r w:rsidRPr="003C677A">
              <w:rPr>
                <w:rFonts w:cs="Times New Roman"/>
                <w:sz w:val="28"/>
                <w:szCs w:val="28"/>
              </w:rPr>
              <w:t>Dự thảo ban hành văn bản mới để áp dụng thống nhất trên địa bàn tỉnh Đắk Lắk sau sắp xếp đơn vị hành chính</w:t>
            </w:r>
            <w:r w:rsidR="00682415">
              <w:rPr>
                <w:rFonts w:cs="Times New Roman"/>
                <w:sz w:val="28"/>
                <w:szCs w:val="28"/>
              </w:rPr>
              <w:t xml:space="preserve">, phù hợp với quy định về quản lý phát triển cụm công nghiệp theo Nghị </w:t>
            </w:r>
            <w:r w:rsidR="0020658A">
              <w:rPr>
                <w:rFonts w:cs="Times New Roman"/>
                <w:sz w:val="28"/>
                <w:szCs w:val="28"/>
              </w:rPr>
              <w:t>định</w:t>
            </w:r>
            <w:r w:rsidR="00682415">
              <w:rPr>
                <w:rFonts w:cs="Times New Roman"/>
                <w:sz w:val="28"/>
                <w:szCs w:val="28"/>
              </w:rPr>
              <w:t xml:space="preserve"> số 303/2026/NĐ-CP</w:t>
            </w:r>
            <w:r w:rsidRPr="003C677A">
              <w:rPr>
                <w:rFonts w:cs="Times New Roman"/>
                <w:sz w:val="28"/>
                <w:szCs w:val="28"/>
              </w:rPr>
              <w:t xml:space="preserve">; đồng thời bãi bỏ Quyết định số 22/2025/QĐ-UBND của tỉnh Đắk Lắk (cũ), Quyết định số 27/2019/QĐ-UBND của tỉnh Phú Yên (trước đây) và </w:t>
            </w:r>
            <w:r w:rsidR="003C677A">
              <w:rPr>
                <w:rFonts w:cs="Times New Roman"/>
                <w:sz w:val="28"/>
                <w:szCs w:val="28"/>
              </w:rPr>
              <w:t>sửa đổi khoản 2 Điều 2</w:t>
            </w:r>
            <w:r w:rsidRPr="003C677A">
              <w:rPr>
                <w:rFonts w:cs="Times New Roman"/>
                <w:sz w:val="28"/>
                <w:szCs w:val="28"/>
              </w:rPr>
              <w:t xml:space="preserve"> Quyết định số 19/2026/QĐ-UBND.</w:t>
            </w:r>
          </w:p>
        </w:tc>
      </w:tr>
      <w:tr w:rsidR="00B9072F" w:rsidRPr="003C677A" w14:paraId="0DDABDD8" w14:textId="77777777" w:rsidTr="00331EDA">
        <w:trPr>
          <w:trHeight w:val="3900"/>
          <w:jc w:val="center"/>
        </w:trPr>
        <w:tc>
          <w:tcPr>
            <w:tcW w:w="5193" w:type="dxa"/>
            <w:tcMar>
              <w:top w:w="100" w:type="dxa"/>
              <w:left w:w="90" w:type="dxa"/>
              <w:bottom w:w="100" w:type="dxa"/>
              <w:right w:w="90" w:type="dxa"/>
            </w:tcMar>
          </w:tcPr>
          <w:p w14:paraId="3105A5ED" w14:textId="1F081D8F" w:rsidR="00B9072F" w:rsidRPr="003C677A" w:rsidRDefault="006A28D5">
            <w:pPr>
              <w:spacing w:line="252" w:lineRule="auto"/>
              <w:jc w:val="both"/>
              <w:rPr>
                <w:rFonts w:cs="Times New Roman"/>
                <w:bCs/>
                <w:sz w:val="28"/>
                <w:szCs w:val="28"/>
              </w:rPr>
            </w:pPr>
            <w:r w:rsidRPr="003C677A">
              <w:rPr>
                <w:rFonts w:cs="Times New Roman"/>
                <w:bCs/>
                <w:sz w:val="28"/>
                <w:szCs w:val="28"/>
              </w:rPr>
              <w:lastRenderedPageBreak/>
              <w:t>Phần căn cứ ban hành</w:t>
            </w:r>
            <w:r w:rsidR="007A75E4">
              <w:rPr>
                <w:rFonts w:cs="Times New Roman"/>
                <w:bCs/>
                <w:sz w:val="28"/>
                <w:szCs w:val="28"/>
              </w:rPr>
              <w:t xml:space="preserve"> Quyết định</w:t>
            </w:r>
          </w:p>
        </w:tc>
        <w:tc>
          <w:tcPr>
            <w:tcW w:w="3061" w:type="dxa"/>
            <w:tcMar>
              <w:top w:w="100" w:type="dxa"/>
              <w:left w:w="90" w:type="dxa"/>
              <w:bottom w:w="100" w:type="dxa"/>
              <w:right w:w="90" w:type="dxa"/>
            </w:tcMar>
          </w:tcPr>
          <w:p w14:paraId="40BB3280" w14:textId="0361F334" w:rsidR="00B9072F" w:rsidRPr="003C677A" w:rsidRDefault="006A28D5">
            <w:pPr>
              <w:spacing w:line="252" w:lineRule="auto"/>
              <w:jc w:val="both"/>
              <w:rPr>
                <w:rFonts w:cs="Times New Roman"/>
                <w:bCs/>
                <w:sz w:val="28"/>
                <w:szCs w:val="28"/>
              </w:rPr>
            </w:pPr>
            <w:r w:rsidRPr="003C677A">
              <w:rPr>
                <w:rFonts w:cs="Times New Roman"/>
                <w:bCs/>
                <w:sz w:val="28"/>
                <w:szCs w:val="28"/>
              </w:rPr>
              <w:t>Phần căn cứ ban hành</w:t>
            </w:r>
            <w:r w:rsidR="007A75E4">
              <w:rPr>
                <w:rFonts w:cs="Times New Roman"/>
                <w:bCs/>
                <w:sz w:val="28"/>
                <w:szCs w:val="28"/>
              </w:rPr>
              <w:t xml:space="preserve"> Quyết định</w:t>
            </w:r>
          </w:p>
        </w:tc>
        <w:tc>
          <w:tcPr>
            <w:tcW w:w="5916" w:type="dxa"/>
            <w:tcMar>
              <w:top w:w="100" w:type="dxa"/>
              <w:left w:w="90" w:type="dxa"/>
              <w:bottom w:w="100" w:type="dxa"/>
              <w:right w:w="90" w:type="dxa"/>
            </w:tcMar>
          </w:tcPr>
          <w:p w14:paraId="688D3FF0" w14:textId="03986338" w:rsidR="00B9072F" w:rsidRPr="003C677A" w:rsidRDefault="006A28D5">
            <w:pPr>
              <w:spacing w:line="252" w:lineRule="auto"/>
              <w:jc w:val="both"/>
              <w:rPr>
                <w:rFonts w:cs="Times New Roman"/>
                <w:sz w:val="28"/>
                <w:szCs w:val="28"/>
              </w:rPr>
            </w:pPr>
            <w:r w:rsidRPr="003C677A">
              <w:rPr>
                <w:rFonts w:cs="Times New Roman"/>
                <w:sz w:val="28"/>
                <w:szCs w:val="28"/>
              </w:rPr>
              <w:t xml:space="preserve">Cập nhật hệ thống căn cứ pháp lý mới về tổ chức chính quyền địa phương, đầu tư, xây dựng, quy hoạch, đầu tư công, đất đai, bảo vệ môi trường, giá; bổ sung các </w:t>
            </w:r>
            <w:r w:rsidR="0020658A">
              <w:rPr>
                <w:rFonts w:cs="Times New Roman"/>
                <w:sz w:val="28"/>
                <w:szCs w:val="28"/>
              </w:rPr>
              <w:t>N</w:t>
            </w:r>
            <w:r w:rsidRPr="003C677A">
              <w:rPr>
                <w:rFonts w:cs="Times New Roman"/>
                <w:sz w:val="28"/>
                <w:szCs w:val="28"/>
              </w:rPr>
              <w:t>ghị định về phân định thẩm quyền của chính quyền địa phương 02 cấp, hướng dẫn Luật Đầu tư và quản lý hoạt động xây dựng. Tiếp tục căn cứ Nghị định số 32/2024/NĐ-CP</w:t>
            </w:r>
            <w:r w:rsidR="0020658A">
              <w:rPr>
                <w:rFonts w:cs="Times New Roman"/>
                <w:sz w:val="28"/>
                <w:szCs w:val="28"/>
              </w:rPr>
              <w:t>, bổ sung Nghị định số 303/2026/NĐ-CP</w:t>
            </w:r>
            <w:r w:rsidR="00251B29">
              <w:rPr>
                <w:rFonts w:cs="Times New Roman"/>
                <w:sz w:val="28"/>
                <w:szCs w:val="28"/>
              </w:rPr>
              <w:t xml:space="preserve"> </w:t>
            </w:r>
            <w:r w:rsidRPr="003C677A">
              <w:rPr>
                <w:rFonts w:cs="Times New Roman"/>
                <w:sz w:val="28"/>
                <w:szCs w:val="28"/>
              </w:rPr>
              <w:t>và Thông tư số 14/2024/TT-BCT.</w:t>
            </w:r>
          </w:p>
        </w:tc>
      </w:tr>
    </w:tbl>
    <w:p w14:paraId="1BB1D147"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14170" w:type="dxa"/>
        <w:jc w:val="center"/>
        <w:tblLayout w:type="fixed"/>
        <w:tblLook w:val="04A0" w:firstRow="1" w:lastRow="0" w:firstColumn="1" w:lastColumn="0" w:noHBand="0" w:noVBand="1"/>
      </w:tblPr>
      <w:tblGrid>
        <w:gridCol w:w="4815"/>
        <w:gridCol w:w="4442"/>
        <w:gridCol w:w="4913"/>
      </w:tblGrid>
      <w:tr w:rsidR="00B9072F" w:rsidRPr="003C677A" w14:paraId="7D20003A" w14:textId="77777777" w:rsidTr="0020658A">
        <w:trPr>
          <w:tblHeader/>
          <w:jc w:val="center"/>
        </w:trPr>
        <w:tc>
          <w:tcPr>
            <w:tcW w:w="4815" w:type="dxa"/>
            <w:vAlign w:val="center"/>
          </w:tcPr>
          <w:p w14:paraId="0FB6410D" w14:textId="77777777" w:rsidR="00B9072F" w:rsidRPr="003C677A" w:rsidRDefault="006A28D5" w:rsidP="00E5567E">
            <w:pPr>
              <w:spacing w:before="120" w:after="120"/>
              <w:jc w:val="center"/>
              <w:rPr>
                <w:rFonts w:cs="Times New Roman"/>
                <w:sz w:val="28"/>
                <w:szCs w:val="28"/>
              </w:rPr>
            </w:pPr>
            <w:r w:rsidRPr="003C677A">
              <w:rPr>
                <w:rFonts w:cs="Times New Roman"/>
                <w:b/>
                <w:sz w:val="28"/>
                <w:szCs w:val="28"/>
              </w:rPr>
              <w:lastRenderedPageBreak/>
              <w:t>Quyết định số 22/2025/QĐ-UBND</w:t>
            </w:r>
          </w:p>
        </w:tc>
        <w:tc>
          <w:tcPr>
            <w:tcW w:w="4442" w:type="dxa"/>
            <w:vAlign w:val="center"/>
          </w:tcPr>
          <w:p w14:paraId="5DEA424C" w14:textId="77777777" w:rsidR="00B9072F" w:rsidRPr="003C677A" w:rsidRDefault="006A28D5" w:rsidP="00E5567E">
            <w:pPr>
              <w:spacing w:before="120" w:after="120"/>
              <w:jc w:val="center"/>
              <w:rPr>
                <w:rFonts w:cs="Times New Roman"/>
                <w:sz w:val="28"/>
                <w:szCs w:val="28"/>
              </w:rPr>
            </w:pPr>
            <w:r w:rsidRPr="003C677A">
              <w:rPr>
                <w:rFonts w:cs="Times New Roman"/>
                <w:b/>
                <w:sz w:val="28"/>
                <w:szCs w:val="28"/>
              </w:rPr>
              <w:t>Dự thảo Quyết định, Quy chế năm 2026</w:t>
            </w:r>
          </w:p>
        </w:tc>
        <w:tc>
          <w:tcPr>
            <w:tcW w:w="4913" w:type="dxa"/>
            <w:vAlign w:val="center"/>
          </w:tcPr>
          <w:p w14:paraId="7EFE4EBF" w14:textId="77777777" w:rsidR="00B9072F" w:rsidRPr="003C677A" w:rsidRDefault="006A28D5" w:rsidP="00E5567E">
            <w:pPr>
              <w:spacing w:before="120" w:after="120"/>
              <w:jc w:val="center"/>
              <w:rPr>
                <w:rFonts w:cs="Times New Roman"/>
                <w:sz w:val="28"/>
                <w:szCs w:val="28"/>
              </w:rPr>
            </w:pPr>
            <w:r w:rsidRPr="003C677A">
              <w:rPr>
                <w:rFonts w:cs="Times New Roman"/>
                <w:b/>
                <w:sz w:val="28"/>
                <w:szCs w:val="28"/>
              </w:rPr>
              <w:t>Thuyết minh</w:t>
            </w:r>
          </w:p>
        </w:tc>
      </w:tr>
      <w:tr w:rsidR="00B9072F" w:rsidRPr="003C677A" w14:paraId="6865C077" w14:textId="77777777" w:rsidTr="0020658A">
        <w:trPr>
          <w:trHeight w:val="1408"/>
          <w:jc w:val="center"/>
        </w:trPr>
        <w:tc>
          <w:tcPr>
            <w:tcW w:w="4815" w:type="dxa"/>
            <w:tcMar>
              <w:top w:w="100" w:type="dxa"/>
              <w:left w:w="90" w:type="dxa"/>
              <w:bottom w:w="100" w:type="dxa"/>
              <w:right w:w="90" w:type="dxa"/>
            </w:tcMar>
          </w:tcPr>
          <w:p w14:paraId="4FB5A13D" w14:textId="77777777" w:rsidR="00B9072F" w:rsidRPr="00CF583E" w:rsidRDefault="006A28D5">
            <w:pPr>
              <w:spacing w:line="252" w:lineRule="auto"/>
              <w:jc w:val="both"/>
              <w:rPr>
                <w:rFonts w:cs="Times New Roman"/>
                <w:bCs/>
                <w:sz w:val="28"/>
                <w:szCs w:val="28"/>
              </w:rPr>
            </w:pPr>
            <w:r w:rsidRPr="00CF583E">
              <w:rPr>
                <w:rFonts w:cs="Times New Roman"/>
                <w:bCs/>
                <w:sz w:val="28"/>
                <w:szCs w:val="28"/>
              </w:rPr>
              <w:t>Điều 1. Ban hành kèm theo Quyết định Quy chế quản lý cụm công nghiệp trên địa bàn tỉnh Đắk Lắk.</w:t>
            </w:r>
          </w:p>
        </w:tc>
        <w:tc>
          <w:tcPr>
            <w:tcW w:w="4442" w:type="dxa"/>
            <w:tcMar>
              <w:top w:w="100" w:type="dxa"/>
              <w:left w:w="90" w:type="dxa"/>
              <w:bottom w:w="100" w:type="dxa"/>
              <w:right w:w="90" w:type="dxa"/>
            </w:tcMar>
          </w:tcPr>
          <w:p w14:paraId="05F777DB" w14:textId="77777777" w:rsidR="00B9072F" w:rsidRPr="00CF583E" w:rsidRDefault="006A28D5">
            <w:pPr>
              <w:spacing w:line="252" w:lineRule="auto"/>
              <w:jc w:val="both"/>
              <w:rPr>
                <w:rFonts w:cs="Times New Roman"/>
                <w:bCs/>
                <w:sz w:val="28"/>
                <w:szCs w:val="28"/>
              </w:rPr>
            </w:pPr>
            <w:r w:rsidRPr="00CF583E">
              <w:rPr>
                <w:rFonts w:cs="Times New Roman"/>
                <w:bCs/>
                <w:sz w:val="28"/>
                <w:szCs w:val="28"/>
              </w:rPr>
              <w:t>Điều 1. Ban hành kèm theo Quyết định Quy chế quản lý cụm công nghiệp trên địa bàn tỉnh Đắk Lắk.</w:t>
            </w:r>
          </w:p>
        </w:tc>
        <w:tc>
          <w:tcPr>
            <w:tcW w:w="4913" w:type="dxa"/>
            <w:tcMar>
              <w:top w:w="100" w:type="dxa"/>
              <w:left w:w="90" w:type="dxa"/>
              <w:bottom w:w="100" w:type="dxa"/>
              <w:right w:w="90" w:type="dxa"/>
            </w:tcMar>
          </w:tcPr>
          <w:p w14:paraId="01BDC61C"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nội dung về việc ban hành Quy chế; chỉnh lý kỹ thuật trình bày và gắn với phạm vi áp dụng của tỉnh Đắk Lắk hiện nay.</w:t>
            </w:r>
          </w:p>
        </w:tc>
      </w:tr>
      <w:tr w:rsidR="00B9072F" w:rsidRPr="003C677A" w14:paraId="48F78131" w14:textId="77777777" w:rsidTr="0020658A">
        <w:trPr>
          <w:trHeight w:val="2197"/>
          <w:jc w:val="center"/>
        </w:trPr>
        <w:tc>
          <w:tcPr>
            <w:tcW w:w="4815" w:type="dxa"/>
            <w:tcMar>
              <w:top w:w="100" w:type="dxa"/>
              <w:left w:w="90" w:type="dxa"/>
              <w:bottom w:w="100" w:type="dxa"/>
              <w:right w:w="90" w:type="dxa"/>
            </w:tcMar>
          </w:tcPr>
          <w:p w14:paraId="22957A17" w14:textId="77777777" w:rsidR="00B9072F" w:rsidRPr="002612E6" w:rsidRDefault="006A28D5">
            <w:pPr>
              <w:spacing w:line="252" w:lineRule="auto"/>
              <w:jc w:val="both"/>
              <w:rPr>
                <w:rFonts w:cs="Times New Roman"/>
                <w:bCs/>
                <w:sz w:val="28"/>
                <w:szCs w:val="28"/>
              </w:rPr>
            </w:pPr>
            <w:r w:rsidRPr="002612E6">
              <w:rPr>
                <w:rFonts w:cs="Times New Roman"/>
                <w:bCs/>
                <w:sz w:val="28"/>
                <w:szCs w:val="28"/>
              </w:rPr>
              <w:t>Điều 2. Quyết định số 08/2021/QĐ-UBND hết hiệu lực kể từ ngày Quyết định số 22/2025/QĐ-UBND có hiệu lực.</w:t>
            </w:r>
          </w:p>
        </w:tc>
        <w:tc>
          <w:tcPr>
            <w:tcW w:w="4442" w:type="dxa"/>
            <w:tcMar>
              <w:top w:w="100" w:type="dxa"/>
              <w:left w:w="90" w:type="dxa"/>
              <w:bottom w:w="100" w:type="dxa"/>
              <w:right w:w="90" w:type="dxa"/>
            </w:tcMar>
          </w:tcPr>
          <w:p w14:paraId="5B797B34" w14:textId="77777777" w:rsidR="00B9072F" w:rsidRPr="002612E6" w:rsidRDefault="006A28D5">
            <w:pPr>
              <w:spacing w:line="252" w:lineRule="auto"/>
              <w:jc w:val="both"/>
              <w:rPr>
                <w:rFonts w:cs="Times New Roman"/>
                <w:bCs/>
                <w:sz w:val="28"/>
                <w:szCs w:val="28"/>
              </w:rPr>
            </w:pPr>
            <w:r w:rsidRPr="002612E6">
              <w:rPr>
                <w:rFonts w:cs="Times New Roman"/>
                <w:bCs/>
                <w:sz w:val="28"/>
                <w:szCs w:val="28"/>
              </w:rPr>
              <w:t>Điều 2. Giao Sở Công Thương chủ trì, phối hợp với các cơ quan, đơn vị liên quan tổ chức thực hiện Quy chế.</w:t>
            </w:r>
          </w:p>
        </w:tc>
        <w:tc>
          <w:tcPr>
            <w:tcW w:w="4913" w:type="dxa"/>
            <w:tcMar>
              <w:top w:w="100" w:type="dxa"/>
              <w:left w:w="90" w:type="dxa"/>
              <w:bottom w:w="100" w:type="dxa"/>
              <w:right w:w="90" w:type="dxa"/>
            </w:tcMar>
          </w:tcPr>
          <w:p w14:paraId="5E78523B" w14:textId="77777777" w:rsidR="00B9072F" w:rsidRPr="003C677A" w:rsidRDefault="006A28D5">
            <w:pPr>
              <w:spacing w:line="252" w:lineRule="auto"/>
              <w:jc w:val="both"/>
              <w:rPr>
                <w:rFonts w:cs="Times New Roman"/>
                <w:sz w:val="28"/>
                <w:szCs w:val="28"/>
              </w:rPr>
            </w:pPr>
            <w:r w:rsidRPr="003C677A">
              <w:rPr>
                <w:rFonts w:cs="Times New Roman"/>
                <w:sz w:val="28"/>
                <w:szCs w:val="28"/>
              </w:rPr>
              <w:t>Thay nội dung xử lý hiệu lực của văn bản cũ bằng quy định giao đầu mối tổ chức thực hiện. Việc bãi bỏ các văn bản hiện hành được chuyển sang Điều 3 của dự thảo để bảo đảm tập trung, rõ ràng.</w:t>
            </w:r>
          </w:p>
        </w:tc>
      </w:tr>
      <w:tr w:rsidR="00B9072F" w:rsidRPr="003C677A" w14:paraId="6C5B92FF" w14:textId="77777777" w:rsidTr="0020658A">
        <w:trPr>
          <w:trHeight w:val="2700"/>
          <w:jc w:val="center"/>
        </w:trPr>
        <w:tc>
          <w:tcPr>
            <w:tcW w:w="4815" w:type="dxa"/>
            <w:tcMar>
              <w:top w:w="100" w:type="dxa"/>
              <w:left w:w="90" w:type="dxa"/>
              <w:bottom w:w="100" w:type="dxa"/>
              <w:right w:w="90" w:type="dxa"/>
            </w:tcMar>
          </w:tcPr>
          <w:p w14:paraId="5A2413E2" w14:textId="77777777" w:rsidR="00B9072F" w:rsidRPr="000E2408" w:rsidRDefault="006A28D5">
            <w:pPr>
              <w:spacing w:line="252" w:lineRule="auto"/>
              <w:jc w:val="both"/>
              <w:rPr>
                <w:rFonts w:cs="Times New Roman"/>
                <w:bCs/>
                <w:sz w:val="28"/>
                <w:szCs w:val="28"/>
              </w:rPr>
            </w:pPr>
            <w:r w:rsidRPr="000E2408">
              <w:rPr>
                <w:rFonts w:cs="Times New Roman"/>
                <w:bCs/>
                <w:sz w:val="28"/>
                <w:szCs w:val="28"/>
              </w:rPr>
              <w:t>Điều 3. Trách nhiệm thi hành.</w:t>
            </w:r>
          </w:p>
        </w:tc>
        <w:tc>
          <w:tcPr>
            <w:tcW w:w="4442" w:type="dxa"/>
            <w:tcMar>
              <w:top w:w="100" w:type="dxa"/>
              <w:left w:w="90" w:type="dxa"/>
              <w:bottom w:w="100" w:type="dxa"/>
              <w:right w:w="90" w:type="dxa"/>
            </w:tcMar>
          </w:tcPr>
          <w:p w14:paraId="351BB233" w14:textId="77777777" w:rsidR="00B9072F" w:rsidRPr="000E2408" w:rsidRDefault="006A28D5">
            <w:pPr>
              <w:spacing w:line="252" w:lineRule="auto"/>
              <w:jc w:val="both"/>
              <w:rPr>
                <w:rFonts w:cs="Times New Roman"/>
                <w:bCs/>
                <w:sz w:val="28"/>
                <w:szCs w:val="28"/>
              </w:rPr>
            </w:pPr>
            <w:r w:rsidRPr="000E2408">
              <w:rPr>
                <w:rFonts w:cs="Times New Roman"/>
                <w:bCs/>
                <w:sz w:val="28"/>
                <w:szCs w:val="28"/>
              </w:rPr>
              <w:t>Điều 3. Hiệu lực thi hành.</w:t>
            </w:r>
          </w:p>
        </w:tc>
        <w:tc>
          <w:tcPr>
            <w:tcW w:w="4913" w:type="dxa"/>
            <w:tcMar>
              <w:top w:w="100" w:type="dxa"/>
              <w:left w:w="90" w:type="dxa"/>
              <w:bottom w:w="100" w:type="dxa"/>
              <w:right w:w="90" w:type="dxa"/>
            </w:tcMar>
          </w:tcPr>
          <w:p w14:paraId="029013FD" w14:textId="2F7ED015" w:rsidR="00B9072F" w:rsidRPr="003C677A" w:rsidRDefault="006A28D5">
            <w:pPr>
              <w:spacing w:line="252" w:lineRule="auto"/>
              <w:jc w:val="both"/>
              <w:rPr>
                <w:rFonts w:cs="Times New Roman"/>
                <w:sz w:val="28"/>
                <w:szCs w:val="28"/>
              </w:rPr>
            </w:pPr>
            <w:r w:rsidRPr="003C677A">
              <w:rPr>
                <w:rFonts w:cs="Times New Roman"/>
                <w:sz w:val="28"/>
                <w:szCs w:val="28"/>
              </w:rPr>
              <w:t xml:space="preserve">Quy định thời điểm có hiệu lực; bãi bỏ Quyết định số 22/2025/QĐ-UBND và Quyết định số 27/2019/QĐ-UBND; đồng thời sửa đổi khoản 2 Điều 2 Quyết định số 19/2026/QĐ-UBND. Nội dung này bảo đảm một </w:t>
            </w:r>
            <w:r w:rsidR="000E2408">
              <w:rPr>
                <w:rFonts w:cs="Times New Roman"/>
                <w:sz w:val="28"/>
                <w:szCs w:val="28"/>
              </w:rPr>
              <w:t>Q</w:t>
            </w:r>
            <w:r w:rsidRPr="003C677A">
              <w:rPr>
                <w:rFonts w:cs="Times New Roman"/>
                <w:sz w:val="28"/>
                <w:szCs w:val="28"/>
              </w:rPr>
              <w:t>uy chế thống nhất cho toàn tỉnh và xử lý đầy đủ quan hệ giữa các văn bản có liên quan.</w:t>
            </w:r>
          </w:p>
        </w:tc>
      </w:tr>
      <w:tr w:rsidR="00B9072F" w:rsidRPr="003C677A" w14:paraId="4728A0DB" w14:textId="77777777" w:rsidTr="0020658A">
        <w:trPr>
          <w:trHeight w:val="1871"/>
          <w:jc w:val="center"/>
        </w:trPr>
        <w:tc>
          <w:tcPr>
            <w:tcW w:w="4815" w:type="dxa"/>
            <w:tcMar>
              <w:top w:w="100" w:type="dxa"/>
              <w:left w:w="90" w:type="dxa"/>
              <w:bottom w:w="100" w:type="dxa"/>
              <w:right w:w="90" w:type="dxa"/>
            </w:tcMar>
          </w:tcPr>
          <w:p w14:paraId="7B730A50"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3. Trách nhiệm thi hành.</w:t>
            </w:r>
          </w:p>
        </w:tc>
        <w:tc>
          <w:tcPr>
            <w:tcW w:w="4442" w:type="dxa"/>
            <w:tcMar>
              <w:top w:w="100" w:type="dxa"/>
              <w:left w:w="90" w:type="dxa"/>
              <w:bottom w:w="100" w:type="dxa"/>
              <w:right w:w="90" w:type="dxa"/>
            </w:tcMar>
          </w:tcPr>
          <w:p w14:paraId="075F8AD0"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4. Trách nhiệm thi hành.</w:t>
            </w:r>
          </w:p>
        </w:tc>
        <w:tc>
          <w:tcPr>
            <w:tcW w:w="4913" w:type="dxa"/>
            <w:tcMar>
              <w:top w:w="100" w:type="dxa"/>
              <w:left w:w="90" w:type="dxa"/>
              <w:bottom w:w="100" w:type="dxa"/>
              <w:right w:w="90" w:type="dxa"/>
            </w:tcMar>
          </w:tcPr>
          <w:p w14:paraId="775D08D4"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cập nhật tên cơ quan, đơn vị theo tổ chức bộ máy hiện hành; bổ sung các chủ thể có trách nhiệm thi hành phù hợp phạm vi điều chỉnh của Quy chế mới.</w:t>
            </w:r>
          </w:p>
        </w:tc>
      </w:tr>
      <w:tr w:rsidR="00B9072F" w:rsidRPr="003C677A" w14:paraId="5A2ED1C1" w14:textId="77777777" w:rsidTr="0020658A">
        <w:trPr>
          <w:trHeight w:val="2700"/>
          <w:jc w:val="center"/>
        </w:trPr>
        <w:tc>
          <w:tcPr>
            <w:tcW w:w="4815" w:type="dxa"/>
            <w:tcMar>
              <w:top w:w="100" w:type="dxa"/>
              <w:left w:w="90" w:type="dxa"/>
              <w:bottom w:w="100" w:type="dxa"/>
              <w:right w:w="90" w:type="dxa"/>
            </w:tcMar>
          </w:tcPr>
          <w:p w14:paraId="7CAFC480" w14:textId="77777777" w:rsidR="00B9072F" w:rsidRPr="003C677A" w:rsidRDefault="006A28D5">
            <w:pPr>
              <w:spacing w:line="252" w:lineRule="auto"/>
              <w:jc w:val="both"/>
              <w:rPr>
                <w:rFonts w:cs="Times New Roman"/>
                <w:sz w:val="28"/>
                <w:szCs w:val="28"/>
              </w:rPr>
            </w:pPr>
            <w:r w:rsidRPr="003C677A">
              <w:rPr>
                <w:rFonts w:cs="Times New Roman"/>
                <w:b/>
                <w:sz w:val="28"/>
                <w:szCs w:val="28"/>
              </w:rPr>
              <w:lastRenderedPageBreak/>
              <w:t>Điều 1. Phạm vi điều chỉnh và đối tượng áp dụng.</w:t>
            </w:r>
          </w:p>
        </w:tc>
        <w:tc>
          <w:tcPr>
            <w:tcW w:w="4442" w:type="dxa"/>
            <w:tcMar>
              <w:top w:w="100" w:type="dxa"/>
              <w:left w:w="90" w:type="dxa"/>
              <w:bottom w:w="100" w:type="dxa"/>
              <w:right w:w="90" w:type="dxa"/>
            </w:tcMar>
          </w:tcPr>
          <w:p w14:paraId="7E12659F"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 Phạm vi điều chỉnh và đối tượng áp dụng.</w:t>
            </w:r>
          </w:p>
        </w:tc>
        <w:tc>
          <w:tcPr>
            <w:tcW w:w="4913" w:type="dxa"/>
            <w:tcMar>
              <w:top w:w="100" w:type="dxa"/>
              <w:left w:w="90" w:type="dxa"/>
              <w:bottom w:w="100" w:type="dxa"/>
              <w:right w:w="90" w:type="dxa"/>
            </w:tcMar>
          </w:tcPr>
          <w:p w14:paraId="22D1802C" w14:textId="77777777" w:rsidR="00B9072F" w:rsidRPr="003C677A" w:rsidRDefault="006A28D5">
            <w:pPr>
              <w:spacing w:line="252" w:lineRule="auto"/>
              <w:jc w:val="both"/>
              <w:rPr>
                <w:rFonts w:cs="Times New Roman"/>
                <w:sz w:val="28"/>
                <w:szCs w:val="28"/>
              </w:rPr>
            </w:pPr>
            <w:r w:rsidRPr="003C677A">
              <w:rPr>
                <w:rFonts w:cs="Times New Roman"/>
                <w:sz w:val="28"/>
                <w:szCs w:val="28"/>
              </w:rPr>
              <w:t>Cơ bản kế thừa. Cập nhật chủ thể quản lý theo mô hình chính quyền địa phương 02 cấp, sử dụng thống nhất khái niệm “Ủy ban nhân dân cấp xã”; mở rộng cách diễn đạt để bao quát cơ quan quản lý nhà nước, chủ đầu tư hạ tầng, nhà đầu tư sản xuất kinh doanh và các tổ chức, cá nhân liên quan.</w:t>
            </w:r>
          </w:p>
        </w:tc>
      </w:tr>
      <w:tr w:rsidR="00B9072F" w:rsidRPr="003C677A" w14:paraId="7AEB8F07" w14:textId="77777777" w:rsidTr="0020658A">
        <w:trPr>
          <w:trHeight w:val="2700"/>
          <w:jc w:val="center"/>
        </w:trPr>
        <w:tc>
          <w:tcPr>
            <w:tcW w:w="4815" w:type="dxa"/>
            <w:tcMar>
              <w:top w:w="100" w:type="dxa"/>
              <w:left w:w="90" w:type="dxa"/>
              <w:bottom w:w="100" w:type="dxa"/>
              <w:right w:w="90" w:type="dxa"/>
            </w:tcMar>
          </w:tcPr>
          <w:p w14:paraId="5131B4AD"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2. Nguyên tắc quản lý.</w:t>
            </w:r>
          </w:p>
        </w:tc>
        <w:tc>
          <w:tcPr>
            <w:tcW w:w="4442" w:type="dxa"/>
            <w:tcMar>
              <w:top w:w="100" w:type="dxa"/>
              <w:left w:w="90" w:type="dxa"/>
              <w:bottom w:w="100" w:type="dxa"/>
              <w:right w:w="90" w:type="dxa"/>
            </w:tcMar>
          </w:tcPr>
          <w:p w14:paraId="7AED2956"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2. Nguyên tắc quản lý.</w:t>
            </w:r>
          </w:p>
        </w:tc>
        <w:tc>
          <w:tcPr>
            <w:tcW w:w="4913" w:type="dxa"/>
            <w:tcMar>
              <w:top w:w="100" w:type="dxa"/>
              <w:left w:w="90" w:type="dxa"/>
              <w:bottom w:w="100" w:type="dxa"/>
              <w:right w:w="90" w:type="dxa"/>
            </w:tcMar>
          </w:tcPr>
          <w:p w14:paraId="7757B5EF"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các nguyên tắc phân công, phối hợp, không chồng chéo và xác định Sở Công Thương là cơ quan đầu mối. Bổ sung yêu cầu cải cách thủ tục hành chính, rút ngắn thời gian giải quyết hồ sơ; cập nhật trách nhiệm phối hợp của các sở, ngành và Ủy ban nhân dân cấp xã.</w:t>
            </w:r>
          </w:p>
        </w:tc>
      </w:tr>
    </w:tbl>
    <w:p w14:paraId="39DAED77"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5051"/>
        <w:gridCol w:w="3061"/>
        <w:gridCol w:w="5066"/>
      </w:tblGrid>
      <w:tr w:rsidR="00B9072F" w:rsidRPr="003C677A" w14:paraId="6A63FCCC" w14:textId="77777777" w:rsidTr="002543DC">
        <w:trPr>
          <w:tblHeader/>
          <w:jc w:val="center"/>
        </w:trPr>
        <w:tc>
          <w:tcPr>
            <w:tcW w:w="5051" w:type="dxa"/>
            <w:shd w:val="clear" w:color="auto" w:fill="D9EAF7"/>
            <w:vAlign w:val="center"/>
          </w:tcPr>
          <w:p w14:paraId="1ED4B3B1"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60FE4F63"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066" w:type="dxa"/>
            <w:shd w:val="clear" w:color="auto" w:fill="D9EAF7"/>
            <w:vAlign w:val="center"/>
          </w:tcPr>
          <w:p w14:paraId="17386AC0"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357A69CD" w14:textId="77777777" w:rsidTr="002543DC">
        <w:trPr>
          <w:trHeight w:val="2700"/>
          <w:jc w:val="center"/>
        </w:trPr>
        <w:tc>
          <w:tcPr>
            <w:tcW w:w="5051" w:type="dxa"/>
            <w:tcMar>
              <w:top w:w="100" w:type="dxa"/>
              <w:left w:w="90" w:type="dxa"/>
              <w:bottom w:w="100" w:type="dxa"/>
              <w:right w:w="90" w:type="dxa"/>
            </w:tcMar>
          </w:tcPr>
          <w:p w14:paraId="18E60F07"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3. Phương thức phối hợp quản lý.</w:t>
            </w:r>
          </w:p>
        </w:tc>
        <w:tc>
          <w:tcPr>
            <w:tcW w:w="3061" w:type="dxa"/>
            <w:tcMar>
              <w:top w:w="100" w:type="dxa"/>
              <w:left w:w="90" w:type="dxa"/>
              <w:bottom w:w="100" w:type="dxa"/>
              <w:right w:w="90" w:type="dxa"/>
            </w:tcMar>
          </w:tcPr>
          <w:p w14:paraId="4CDB4F1E"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3. Phương thức phối hợp quản lý.</w:t>
            </w:r>
          </w:p>
        </w:tc>
        <w:tc>
          <w:tcPr>
            <w:tcW w:w="5066" w:type="dxa"/>
            <w:tcMar>
              <w:top w:w="100" w:type="dxa"/>
              <w:left w:w="90" w:type="dxa"/>
              <w:bottom w:w="100" w:type="dxa"/>
              <w:right w:w="90" w:type="dxa"/>
            </w:tcMar>
          </w:tcPr>
          <w:p w14:paraId="147707FE"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phương thức họp, lấy ý kiến bằng văn bản, kiểm tra, khảo sát; bổ sung chia sẻ dữ liệu và sử dụng hệ thống điện tử. Làm rõ trách nhiệm của cơ quan chủ trì, cơ quan phối hợp và việc gửi kết quả xử lý cho Sở Công Thương để tổng hợp, theo dõi.</w:t>
            </w:r>
          </w:p>
        </w:tc>
      </w:tr>
      <w:tr w:rsidR="00B9072F" w:rsidRPr="003C677A" w14:paraId="0FAD8DA9" w14:textId="77777777" w:rsidTr="002543DC">
        <w:trPr>
          <w:trHeight w:val="2700"/>
          <w:jc w:val="center"/>
        </w:trPr>
        <w:tc>
          <w:tcPr>
            <w:tcW w:w="5051" w:type="dxa"/>
            <w:tcMar>
              <w:top w:w="100" w:type="dxa"/>
              <w:left w:w="90" w:type="dxa"/>
              <w:bottom w:w="100" w:type="dxa"/>
              <w:right w:w="90" w:type="dxa"/>
            </w:tcMar>
          </w:tcPr>
          <w:p w14:paraId="34399EBC"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4. Xây dựng, ban hành và tổ chức thực hiện pháp luật, cơ chế, chính sách về cụm công nghiệp.</w:t>
            </w:r>
          </w:p>
        </w:tc>
        <w:tc>
          <w:tcPr>
            <w:tcW w:w="3061" w:type="dxa"/>
            <w:tcMar>
              <w:top w:w="100" w:type="dxa"/>
              <w:left w:w="90" w:type="dxa"/>
              <w:bottom w:w="100" w:type="dxa"/>
              <w:right w:w="90" w:type="dxa"/>
            </w:tcMar>
          </w:tcPr>
          <w:p w14:paraId="218B7428"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4. Xây dựng, ban hành và tổ chức thực hiện pháp luật, cơ chế, chính sách về cụm công nghiệp.</w:t>
            </w:r>
          </w:p>
        </w:tc>
        <w:tc>
          <w:tcPr>
            <w:tcW w:w="5066" w:type="dxa"/>
            <w:tcMar>
              <w:top w:w="100" w:type="dxa"/>
              <w:left w:w="90" w:type="dxa"/>
              <w:bottom w:w="100" w:type="dxa"/>
              <w:right w:w="90" w:type="dxa"/>
            </w:tcMar>
          </w:tcPr>
          <w:p w14:paraId="7DF3DE8C"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vai trò chủ trì của Sở Công Thương; cập nhật trách nhiệm của Sở Tài chính, Sở Nông nghiệp và Môi trường, Sở Xây dựng và Ủy ban nhân dân cấp xã. Nội dung được chỉnh lý theo phân định thẩm quyền của chính quyền địa phương 02 cấp và pháp luật chuyên ngành hiện hành.</w:t>
            </w:r>
          </w:p>
        </w:tc>
      </w:tr>
      <w:tr w:rsidR="00B9072F" w:rsidRPr="003C677A" w14:paraId="3E285831" w14:textId="77777777" w:rsidTr="002543DC">
        <w:trPr>
          <w:trHeight w:val="2700"/>
          <w:jc w:val="center"/>
        </w:trPr>
        <w:tc>
          <w:tcPr>
            <w:tcW w:w="5051" w:type="dxa"/>
            <w:tcMar>
              <w:top w:w="100" w:type="dxa"/>
              <w:left w:w="90" w:type="dxa"/>
              <w:bottom w:w="100" w:type="dxa"/>
              <w:right w:w="90" w:type="dxa"/>
            </w:tcMar>
          </w:tcPr>
          <w:p w14:paraId="102035FC" w14:textId="78D3D251"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5. Xây dựng, tích hợp phương </w:t>
            </w:r>
            <w:r w:rsidR="0033026D">
              <w:rPr>
                <w:rFonts w:cs="Times New Roman"/>
                <w:b/>
                <w:sz w:val="28"/>
                <w:szCs w:val="28"/>
              </w:rPr>
              <w:t>hướng</w:t>
            </w:r>
            <w:r w:rsidRPr="003C677A">
              <w:rPr>
                <w:rFonts w:cs="Times New Roman"/>
                <w:b/>
                <w:sz w:val="28"/>
                <w:szCs w:val="28"/>
              </w:rPr>
              <w:t xml:space="preserve"> phát triển cụm công nghiệp vào quy hoạch tỉnh và tổ chức thực hiện.</w:t>
            </w:r>
          </w:p>
        </w:tc>
        <w:tc>
          <w:tcPr>
            <w:tcW w:w="3061" w:type="dxa"/>
            <w:tcMar>
              <w:top w:w="100" w:type="dxa"/>
              <w:left w:w="90" w:type="dxa"/>
              <w:bottom w:w="100" w:type="dxa"/>
              <w:right w:w="90" w:type="dxa"/>
            </w:tcMar>
          </w:tcPr>
          <w:p w14:paraId="3EC3B0C1" w14:textId="3CBB4CB6"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5. Xây dựng, tích hợp phương </w:t>
            </w:r>
            <w:r w:rsidR="0033026D" w:rsidRPr="0033026D">
              <w:rPr>
                <w:rFonts w:cs="Times New Roman"/>
                <w:b/>
                <w:color w:val="FF0000"/>
                <w:sz w:val="28"/>
                <w:szCs w:val="28"/>
              </w:rPr>
              <w:t>hướng</w:t>
            </w:r>
            <w:r w:rsidRPr="0033026D">
              <w:rPr>
                <w:rFonts w:cs="Times New Roman"/>
                <w:b/>
                <w:color w:val="FF0000"/>
                <w:sz w:val="28"/>
                <w:szCs w:val="28"/>
              </w:rPr>
              <w:t xml:space="preserve"> </w:t>
            </w:r>
            <w:r w:rsidRPr="003C677A">
              <w:rPr>
                <w:rFonts w:cs="Times New Roman"/>
                <w:b/>
                <w:sz w:val="28"/>
                <w:szCs w:val="28"/>
              </w:rPr>
              <w:t>phát triển cụm công nghiệp vào quy hoạch tỉnh điều chỉnh và tổ chức thực hiện.</w:t>
            </w:r>
          </w:p>
        </w:tc>
        <w:tc>
          <w:tcPr>
            <w:tcW w:w="5066" w:type="dxa"/>
            <w:tcMar>
              <w:top w:w="100" w:type="dxa"/>
              <w:left w:w="90" w:type="dxa"/>
              <w:bottom w:w="100" w:type="dxa"/>
              <w:right w:w="90" w:type="dxa"/>
            </w:tcMar>
          </w:tcPr>
          <w:p w14:paraId="7460BC65" w14:textId="353AA516" w:rsidR="00B9072F" w:rsidRPr="003C677A" w:rsidRDefault="006A28D5">
            <w:pPr>
              <w:spacing w:line="252" w:lineRule="auto"/>
              <w:jc w:val="both"/>
              <w:rPr>
                <w:rFonts w:cs="Times New Roman"/>
                <w:sz w:val="28"/>
                <w:szCs w:val="28"/>
              </w:rPr>
            </w:pPr>
            <w:r w:rsidRPr="003C677A">
              <w:rPr>
                <w:rFonts w:cs="Times New Roman"/>
                <w:sz w:val="28"/>
                <w:szCs w:val="28"/>
              </w:rPr>
              <w:t>Kế thừa trình tự theo Nghị định số 32/2024/NĐ-CP; cập nhật Luật Quy hoạch năm 2025</w:t>
            </w:r>
            <w:r w:rsidR="0033026D">
              <w:rPr>
                <w:rFonts w:cs="Times New Roman"/>
                <w:sz w:val="28"/>
                <w:szCs w:val="28"/>
              </w:rPr>
              <w:t>, Nghị định số 303/2026/NĐ-CP</w:t>
            </w:r>
            <w:r w:rsidRPr="003C677A">
              <w:rPr>
                <w:rFonts w:cs="Times New Roman"/>
                <w:sz w:val="28"/>
                <w:szCs w:val="28"/>
              </w:rPr>
              <w:t xml:space="preserve"> và xác định rõ trách nhiệm đề xuất của Ủy ban nhân dân cấp xã, trách nhiệm xây dựng phương </w:t>
            </w:r>
            <w:r w:rsidR="0033026D">
              <w:rPr>
                <w:rFonts w:cs="Times New Roman"/>
                <w:sz w:val="28"/>
                <w:szCs w:val="28"/>
              </w:rPr>
              <w:t>hướng</w:t>
            </w:r>
            <w:r w:rsidRPr="003C677A">
              <w:rPr>
                <w:rFonts w:cs="Times New Roman"/>
                <w:sz w:val="28"/>
                <w:szCs w:val="28"/>
              </w:rPr>
              <w:t xml:space="preserve"> của Sở Công Thương và trách nhiệm xử lý, tích hợp của Sở Tài chính.</w:t>
            </w:r>
          </w:p>
        </w:tc>
      </w:tr>
    </w:tbl>
    <w:p w14:paraId="2CCC200D"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5193"/>
        <w:gridCol w:w="3061"/>
        <w:gridCol w:w="5066"/>
      </w:tblGrid>
      <w:tr w:rsidR="00B9072F" w:rsidRPr="003C677A" w14:paraId="6DD79A5B" w14:textId="77777777" w:rsidTr="002543DC">
        <w:trPr>
          <w:tblHeader/>
          <w:jc w:val="center"/>
        </w:trPr>
        <w:tc>
          <w:tcPr>
            <w:tcW w:w="5193" w:type="dxa"/>
            <w:shd w:val="clear" w:color="auto" w:fill="D9EAF7"/>
            <w:vAlign w:val="center"/>
          </w:tcPr>
          <w:p w14:paraId="2DF65ACE"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5F0660A2"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066" w:type="dxa"/>
            <w:shd w:val="clear" w:color="auto" w:fill="D9EAF7"/>
            <w:vAlign w:val="center"/>
          </w:tcPr>
          <w:p w14:paraId="12B611DA"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61B1593A" w14:textId="77777777" w:rsidTr="002543DC">
        <w:trPr>
          <w:trHeight w:val="2700"/>
          <w:jc w:val="center"/>
        </w:trPr>
        <w:tc>
          <w:tcPr>
            <w:tcW w:w="5193" w:type="dxa"/>
            <w:tcMar>
              <w:top w:w="100" w:type="dxa"/>
              <w:left w:w="90" w:type="dxa"/>
              <w:bottom w:w="100" w:type="dxa"/>
              <w:right w:w="90" w:type="dxa"/>
            </w:tcMar>
          </w:tcPr>
          <w:p w14:paraId="03497DD0" w14:textId="7FA16B24"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6. Điều chỉnh phương </w:t>
            </w:r>
            <w:r w:rsidR="0033026D">
              <w:rPr>
                <w:rFonts w:cs="Times New Roman"/>
                <w:b/>
                <w:sz w:val="28"/>
                <w:szCs w:val="28"/>
              </w:rPr>
              <w:t>hướng</w:t>
            </w:r>
            <w:r w:rsidRPr="003C677A">
              <w:rPr>
                <w:rFonts w:cs="Times New Roman"/>
                <w:b/>
                <w:sz w:val="28"/>
                <w:szCs w:val="28"/>
              </w:rPr>
              <w:t xml:space="preserve"> phát triển cụm công nghiệp.</w:t>
            </w:r>
          </w:p>
        </w:tc>
        <w:tc>
          <w:tcPr>
            <w:tcW w:w="3061" w:type="dxa"/>
            <w:tcMar>
              <w:top w:w="100" w:type="dxa"/>
              <w:left w:w="90" w:type="dxa"/>
              <w:bottom w:w="100" w:type="dxa"/>
              <w:right w:w="90" w:type="dxa"/>
            </w:tcMar>
          </w:tcPr>
          <w:p w14:paraId="356C45A4" w14:textId="77D77EBE"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6. Điều chỉnh phương </w:t>
            </w:r>
            <w:r w:rsidR="0033026D">
              <w:rPr>
                <w:rFonts w:cs="Times New Roman"/>
                <w:b/>
                <w:sz w:val="28"/>
                <w:szCs w:val="28"/>
              </w:rPr>
              <w:t>hướng</w:t>
            </w:r>
            <w:r w:rsidRPr="003C677A">
              <w:rPr>
                <w:rFonts w:cs="Times New Roman"/>
                <w:b/>
                <w:sz w:val="28"/>
                <w:szCs w:val="28"/>
              </w:rPr>
              <w:t xml:space="preserve"> phát triển cụm công nghiệp.</w:t>
            </w:r>
          </w:p>
        </w:tc>
        <w:tc>
          <w:tcPr>
            <w:tcW w:w="5066" w:type="dxa"/>
            <w:tcMar>
              <w:top w:w="100" w:type="dxa"/>
              <w:left w:w="90" w:type="dxa"/>
              <w:bottom w:w="100" w:type="dxa"/>
              <w:right w:w="90" w:type="dxa"/>
            </w:tcMar>
          </w:tcPr>
          <w:p w14:paraId="15B87D73" w14:textId="77777777" w:rsidR="00B9072F" w:rsidRPr="003C677A" w:rsidRDefault="006A28D5">
            <w:pPr>
              <w:spacing w:line="252" w:lineRule="auto"/>
              <w:jc w:val="both"/>
              <w:rPr>
                <w:rFonts w:cs="Times New Roman"/>
                <w:sz w:val="28"/>
                <w:szCs w:val="28"/>
              </w:rPr>
            </w:pPr>
            <w:r w:rsidRPr="003C677A">
              <w:rPr>
                <w:rFonts w:cs="Times New Roman"/>
                <w:sz w:val="28"/>
                <w:szCs w:val="28"/>
              </w:rPr>
              <w:t>Cơ bản kế thừa. Chỉnh lý theo quy trình điều chỉnh quy hoạch tỉnh và mô hình chính quyền địa phương 02 cấp; làm rõ luồng công việc từ đề xuất của cấp xã, tổng hợp của Sở Công Thương đến tích hợp vào điều chỉnh quy hoạch tỉnh của Sở Tài chính.</w:t>
            </w:r>
          </w:p>
        </w:tc>
      </w:tr>
      <w:tr w:rsidR="00B9072F" w:rsidRPr="003C677A" w14:paraId="5370324D" w14:textId="77777777" w:rsidTr="002543DC">
        <w:trPr>
          <w:trHeight w:val="2700"/>
          <w:jc w:val="center"/>
        </w:trPr>
        <w:tc>
          <w:tcPr>
            <w:tcW w:w="5193" w:type="dxa"/>
            <w:tcMar>
              <w:top w:w="100" w:type="dxa"/>
              <w:left w:w="90" w:type="dxa"/>
              <w:bottom w:w="100" w:type="dxa"/>
              <w:right w:w="90" w:type="dxa"/>
            </w:tcMar>
          </w:tcPr>
          <w:p w14:paraId="6BB8E59A"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7. Thành lập, mở rộng cụm công nghiệp.</w:t>
            </w:r>
          </w:p>
        </w:tc>
        <w:tc>
          <w:tcPr>
            <w:tcW w:w="3061" w:type="dxa"/>
            <w:tcMar>
              <w:top w:w="100" w:type="dxa"/>
              <w:left w:w="90" w:type="dxa"/>
              <w:bottom w:w="100" w:type="dxa"/>
              <w:right w:w="90" w:type="dxa"/>
            </w:tcMar>
          </w:tcPr>
          <w:p w14:paraId="2F4D357D"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7. Thành lập, mở rộng cụm công nghiệp.</w:t>
            </w:r>
          </w:p>
        </w:tc>
        <w:tc>
          <w:tcPr>
            <w:tcW w:w="5066" w:type="dxa"/>
            <w:tcMar>
              <w:top w:w="100" w:type="dxa"/>
              <w:left w:w="90" w:type="dxa"/>
              <w:bottom w:w="100" w:type="dxa"/>
              <w:right w:w="90" w:type="dxa"/>
            </w:tcMar>
          </w:tcPr>
          <w:p w14:paraId="4009CFA8" w14:textId="4544BF45" w:rsidR="00B9072F" w:rsidRPr="003C677A" w:rsidRDefault="006A28D5">
            <w:pPr>
              <w:spacing w:line="252" w:lineRule="auto"/>
              <w:jc w:val="both"/>
              <w:rPr>
                <w:rFonts w:cs="Times New Roman"/>
                <w:sz w:val="28"/>
                <w:szCs w:val="28"/>
              </w:rPr>
            </w:pPr>
            <w:r w:rsidRPr="003C677A">
              <w:rPr>
                <w:rFonts w:cs="Times New Roman"/>
                <w:sz w:val="28"/>
                <w:szCs w:val="28"/>
              </w:rPr>
              <w:t>Kế thừa điều kiện, hồ sơ, trình tự tại Nghị định số 32/2024/NĐ-CP</w:t>
            </w:r>
            <w:r w:rsidR="0033026D">
              <w:rPr>
                <w:rFonts w:cs="Times New Roman"/>
                <w:sz w:val="28"/>
                <w:szCs w:val="28"/>
              </w:rPr>
              <w:t xml:space="preserve"> được sửa đổi bổ sung bởi Nghị định số 303/2026/NĐ-CP</w:t>
            </w:r>
            <w:r w:rsidRPr="003C677A">
              <w:rPr>
                <w:rFonts w:cs="Times New Roman"/>
                <w:sz w:val="28"/>
                <w:szCs w:val="28"/>
              </w:rPr>
              <w:t>. Cập nhật trách nhiệm của Ủy ban nhân dân cấp xã; tiếp tục giao Sở Công Thương chủ trì thẩm định và đánh giá, lựa chọn chủ đầu tư; bổ sung việc thực hiện theo Quyết định số 19/2026/QĐ-UBND.</w:t>
            </w:r>
          </w:p>
        </w:tc>
      </w:tr>
      <w:tr w:rsidR="00B9072F" w:rsidRPr="003C677A" w14:paraId="5C274E7D" w14:textId="77777777" w:rsidTr="002543DC">
        <w:trPr>
          <w:trHeight w:val="2700"/>
          <w:jc w:val="center"/>
        </w:trPr>
        <w:tc>
          <w:tcPr>
            <w:tcW w:w="5193" w:type="dxa"/>
            <w:tcMar>
              <w:top w:w="100" w:type="dxa"/>
              <w:left w:w="90" w:type="dxa"/>
              <w:bottom w:w="100" w:type="dxa"/>
              <w:right w:w="90" w:type="dxa"/>
            </w:tcMar>
          </w:tcPr>
          <w:p w14:paraId="12469EC0"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8. Điều chỉnh, bãi bỏ quyết định thành lập, mở rộng cụm công nghiệp.</w:t>
            </w:r>
          </w:p>
        </w:tc>
        <w:tc>
          <w:tcPr>
            <w:tcW w:w="3061" w:type="dxa"/>
            <w:tcMar>
              <w:top w:w="100" w:type="dxa"/>
              <w:left w:w="90" w:type="dxa"/>
              <w:bottom w:w="100" w:type="dxa"/>
              <w:right w:w="90" w:type="dxa"/>
            </w:tcMar>
          </w:tcPr>
          <w:p w14:paraId="3A44D902"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8. Điều chỉnh, bãi bỏ quyết định thành lập, mở rộng cụm công nghiệp.</w:t>
            </w:r>
          </w:p>
        </w:tc>
        <w:tc>
          <w:tcPr>
            <w:tcW w:w="5066" w:type="dxa"/>
            <w:tcMar>
              <w:top w:w="100" w:type="dxa"/>
              <w:left w:w="90" w:type="dxa"/>
              <w:bottom w:w="100" w:type="dxa"/>
              <w:right w:w="90" w:type="dxa"/>
            </w:tcMar>
          </w:tcPr>
          <w:p w14:paraId="7E45F079" w14:textId="71B56323" w:rsidR="00B9072F" w:rsidRPr="003C677A" w:rsidRDefault="006A28D5">
            <w:pPr>
              <w:spacing w:line="252" w:lineRule="auto"/>
              <w:jc w:val="both"/>
              <w:rPr>
                <w:rFonts w:cs="Times New Roman"/>
                <w:sz w:val="28"/>
                <w:szCs w:val="28"/>
              </w:rPr>
            </w:pPr>
            <w:r w:rsidRPr="003C677A">
              <w:rPr>
                <w:rFonts w:cs="Times New Roman"/>
                <w:sz w:val="28"/>
                <w:szCs w:val="28"/>
              </w:rPr>
              <w:t>Kế thừa nội dung cốt lõi, đồng thời quy định rõ hơn hồ sơ đề xuất của chủ đầu tư, cơ quan phối hợp thẩm định và trách nhiệm báo cáo Ủy ban nhân dân tỉnh. Việc điều chỉnh chủ đầu tư tiếp tục gắn với quy định đánh giá, lựa chọn tại khoản 2 Điều 13 Nghị định số 32/2024/NĐ-CP</w:t>
            </w:r>
            <w:r w:rsidR="00635E2F">
              <w:rPr>
                <w:rFonts w:cs="Times New Roman"/>
                <w:sz w:val="28"/>
                <w:szCs w:val="28"/>
              </w:rPr>
              <w:t xml:space="preserve"> được sửa đổi, bổ sung bởi Nghị định số 303/2026/NĐ-CP</w:t>
            </w:r>
            <w:r w:rsidRPr="003C677A">
              <w:rPr>
                <w:rFonts w:cs="Times New Roman"/>
                <w:sz w:val="28"/>
                <w:szCs w:val="28"/>
              </w:rPr>
              <w:t>.</w:t>
            </w:r>
          </w:p>
        </w:tc>
      </w:tr>
    </w:tbl>
    <w:p w14:paraId="6AFAE70D"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5051"/>
        <w:gridCol w:w="3061"/>
        <w:gridCol w:w="5208"/>
      </w:tblGrid>
      <w:tr w:rsidR="00B9072F" w:rsidRPr="003C677A" w14:paraId="5D32D510" w14:textId="77777777" w:rsidTr="002543DC">
        <w:trPr>
          <w:tblHeader/>
          <w:jc w:val="center"/>
        </w:trPr>
        <w:tc>
          <w:tcPr>
            <w:tcW w:w="5051" w:type="dxa"/>
            <w:shd w:val="clear" w:color="auto" w:fill="D9EAF7"/>
            <w:vAlign w:val="center"/>
          </w:tcPr>
          <w:p w14:paraId="367ECF2A"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39DE5866"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208" w:type="dxa"/>
            <w:shd w:val="clear" w:color="auto" w:fill="D9EAF7"/>
            <w:vAlign w:val="center"/>
          </w:tcPr>
          <w:p w14:paraId="21F2083D"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176E0A50" w14:textId="77777777" w:rsidTr="002543DC">
        <w:trPr>
          <w:trHeight w:val="2700"/>
          <w:jc w:val="center"/>
        </w:trPr>
        <w:tc>
          <w:tcPr>
            <w:tcW w:w="5051" w:type="dxa"/>
            <w:tcMar>
              <w:top w:w="100" w:type="dxa"/>
              <w:left w:w="90" w:type="dxa"/>
              <w:bottom w:w="100" w:type="dxa"/>
              <w:right w:w="90" w:type="dxa"/>
            </w:tcMar>
          </w:tcPr>
          <w:p w14:paraId="0224BCE7" w14:textId="4FF722B8"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9. Xử lý thành lập cụm công nghiệp có trong phương </w:t>
            </w:r>
            <w:r w:rsidR="00635E2F">
              <w:rPr>
                <w:rFonts w:cs="Times New Roman"/>
                <w:b/>
                <w:sz w:val="28"/>
                <w:szCs w:val="28"/>
              </w:rPr>
              <w:t>hướng</w:t>
            </w:r>
            <w:r w:rsidRPr="003C677A">
              <w:rPr>
                <w:rFonts w:cs="Times New Roman"/>
                <w:b/>
                <w:sz w:val="28"/>
                <w:szCs w:val="28"/>
              </w:rPr>
              <w:t xml:space="preserve"> phát triển cụm công nghiệp hình thành trước Quyết định số 105/2009/QĐ-TTg.</w:t>
            </w:r>
          </w:p>
        </w:tc>
        <w:tc>
          <w:tcPr>
            <w:tcW w:w="3061" w:type="dxa"/>
            <w:tcMar>
              <w:top w:w="100" w:type="dxa"/>
              <w:left w:w="90" w:type="dxa"/>
              <w:bottom w:w="100" w:type="dxa"/>
              <w:right w:w="90" w:type="dxa"/>
            </w:tcMar>
          </w:tcPr>
          <w:p w14:paraId="566FA795" w14:textId="02C2EA64" w:rsidR="00B9072F" w:rsidRPr="003C677A" w:rsidRDefault="006A28D5">
            <w:pPr>
              <w:spacing w:line="252" w:lineRule="auto"/>
              <w:jc w:val="both"/>
              <w:rPr>
                <w:rFonts w:cs="Times New Roman"/>
                <w:sz w:val="28"/>
                <w:szCs w:val="28"/>
              </w:rPr>
            </w:pPr>
            <w:r w:rsidRPr="003C677A">
              <w:rPr>
                <w:rFonts w:cs="Times New Roman"/>
                <w:b/>
                <w:sz w:val="28"/>
                <w:szCs w:val="28"/>
              </w:rPr>
              <w:t xml:space="preserve">Điều 9. Xử lý thành lập cụm công nghiệp có trong phương </w:t>
            </w:r>
            <w:r w:rsidR="00635E2F">
              <w:rPr>
                <w:rFonts w:cs="Times New Roman"/>
                <w:b/>
                <w:sz w:val="28"/>
                <w:szCs w:val="28"/>
              </w:rPr>
              <w:t>hướng</w:t>
            </w:r>
            <w:r w:rsidRPr="003C677A">
              <w:rPr>
                <w:rFonts w:cs="Times New Roman"/>
                <w:b/>
                <w:sz w:val="28"/>
                <w:szCs w:val="28"/>
              </w:rPr>
              <w:t xml:space="preserve"> phát triển cụm công nghiệp hình thành trước Quyết định số 105/2009/QĐ-TTg.</w:t>
            </w:r>
          </w:p>
        </w:tc>
        <w:tc>
          <w:tcPr>
            <w:tcW w:w="5208" w:type="dxa"/>
            <w:tcMar>
              <w:top w:w="100" w:type="dxa"/>
              <w:left w:w="90" w:type="dxa"/>
              <w:bottom w:w="100" w:type="dxa"/>
              <w:right w:w="90" w:type="dxa"/>
            </w:tcMar>
          </w:tcPr>
          <w:p w14:paraId="147CEBC8" w14:textId="26AB9C40" w:rsidR="00B9072F" w:rsidRPr="003C677A" w:rsidRDefault="006A28D5">
            <w:pPr>
              <w:spacing w:line="252" w:lineRule="auto"/>
              <w:jc w:val="both"/>
              <w:rPr>
                <w:rFonts w:cs="Times New Roman"/>
                <w:sz w:val="28"/>
                <w:szCs w:val="28"/>
              </w:rPr>
            </w:pPr>
            <w:r w:rsidRPr="003C677A">
              <w:rPr>
                <w:rFonts w:cs="Times New Roman"/>
                <w:sz w:val="28"/>
                <w:szCs w:val="28"/>
              </w:rPr>
              <w:t>Kế thừa quy định chuyển tiếp tại khoản 4 Điều 35 Nghị định số 32/2024/NĐ-CP</w:t>
            </w:r>
            <w:r w:rsidR="00635E2F">
              <w:rPr>
                <w:rFonts w:cs="Times New Roman"/>
                <w:sz w:val="28"/>
                <w:szCs w:val="28"/>
              </w:rPr>
              <w:t xml:space="preserve"> được sửa đổi, bổ sung bởi Nghị định số 303/2026/NĐ-CP</w:t>
            </w:r>
            <w:r w:rsidRPr="003C677A">
              <w:rPr>
                <w:rFonts w:cs="Times New Roman"/>
                <w:sz w:val="28"/>
                <w:szCs w:val="28"/>
              </w:rPr>
              <w:t>; cập nhật đầu mối rà soát hiện trạng, hồ sơ pháp lý là Ủy ban nhân dân cấp xã và trách nhiệm đề xuất biện pháp xử lý của Sở Công Thương.</w:t>
            </w:r>
          </w:p>
        </w:tc>
      </w:tr>
      <w:tr w:rsidR="00B9072F" w:rsidRPr="003C677A" w14:paraId="64029223" w14:textId="77777777" w:rsidTr="002543DC">
        <w:trPr>
          <w:trHeight w:val="2700"/>
          <w:jc w:val="center"/>
        </w:trPr>
        <w:tc>
          <w:tcPr>
            <w:tcW w:w="5051" w:type="dxa"/>
            <w:tcMar>
              <w:top w:w="100" w:type="dxa"/>
              <w:left w:w="90" w:type="dxa"/>
              <w:bottom w:w="100" w:type="dxa"/>
              <w:right w:w="90" w:type="dxa"/>
            </w:tcMar>
          </w:tcPr>
          <w:p w14:paraId="738E4A71"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10. Chấp thuận chủ trương đầu tư dự án đầu tư xây dựng hạ tầng kỹ thuật cụm công nghiệp.</w:t>
            </w:r>
          </w:p>
        </w:tc>
        <w:tc>
          <w:tcPr>
            <w:tcW w:w="3061" w:type="dxa"/>
            <w:tcMar>
              <w:top w:w="100" w:type="dxa"/>
              <w:left w:w="90" w:type="dxa"/>
              <w:bottom w:w="100" w:type="dxa"/>
              <w:right w:w="90" w:type="dxa"/>
            </w:tcMar>
          </w:tcPr>
          <w:p w14:paraId="34CAD7C6" w14:textId="77777777" w:rsidR="00B9072F" w:rsidRPr="003C677A" w:rsidRDefault="006A28D5">
            <w:pPr>
              <w:spacing w:line="252" w:lineRule="auto"/>
              <w:jc w:val="both"/>
              <w:rPr>
                <w:rFonts w:cs="Times New Roman"/>
                <w:sz w:val="28"/>
                <w:szCs w:val="28"/>
              </w:rPr>
            </w:pPr>
            <w:r w:rsidRPr="003C677A">
              <w:rPr>
                <w:rFonts w:cs="Times New Roman"/>
                <w:b/>
                <w:sz w:val="28"/>
                <w:szCs w:val="28"/>
              </w:rPr>
              <w:t>Không quy định thành một điều riêng.</w:t>
            </w:r>
          </w:p>
        </w:tc>
        <w:tc>
          <w:tcPr>
            <w:tcW w:w="5208" w:type="dxa"/>
            <w:tcMar>
              <w:top w:w="100" w:type="dxa"/>
              <w:left w:w="90" w:type="dxa"/>
              <w:bottom w:w="100" w:type="dxa"/>
              <w:right w:w="90" w:type="dxa"/>
            </w:tcMar>
          </w:tcPr>
          <w:p w14:paraId="64C4912F" w14:textId="77777777" w:rsidR="00B9072F" w:rsidRPr="003C677A" w:rsidRDefault="006A28D5">
            <w:pPr>
              <w:spacing w:line="252" w:lineRule="auto"/>
              <w:jc w:val="both"/>
              <w:rPr>
                <w:rFonts w:cs="Times New Roman"/>
                <w:sz w:val="28"/>
                <w:szCs w:val="28"/>
              </w:rPr>
            </w:pPr>
            <w:r w:rsidRPr="003C677A">
              <w:rPr>
                <w:rFonts w:cs="Times New Roman"/>
                <w:sz w:val="28"/>
                <w:szCs w:val="28"/>
              </w:rPr>
              <w:t>Nội dung được rà soát, sắp xếp lại theo Luật Đầu tư năm 2025 và Nghị định số 96/2026/NĐ-CP. Dự thảo không lặp lại một thủ tục đầu tư thành điều độc lập; các yêu cầu đối với dự án hạ tầng được thể hiện trong quy định về lập, thẩm định, phê duyệt, điều chỉnh và chấm dứt dự án tại Điều 11.</w:t>
            </w:r>
          </w:p>
        </w:tc>
      </w:tr>
      <w:tr w:rsidR="00B9072F" w:rsidRPr="003C677A" w14:paraId="05451AEC" w14:textId="77777777" w:rsidTr="002543DC">
        <w:trPr>
          <w:trHeight w:val="2700"/>
          <w:jc w:val="center"/>
        </w:trPr>
        <w:tc>
          <w:tcPr>
            <w:tcW w:w="5051" w:type="dxa"/>
            <w:tcMar>
              <w:top w:w="100" w:type="dxa"/>
              <w:left w:w="90" w:type="dxa"/>
              <w:bottom w:w="100" w:type="dxa"/>
              <w:right w:w="90" w:type="dxa"/>
            </w:tcMar>
          </w:tcPr>
          <w:p w14:paraId="51AD2F4A" w14:textId="64FE7EEB" w:rsidR="00B9072F" w:rsidRPr="003C677A" w:rsidRDefault="006A28D5">
            <w:pPr>
              <w:spacing w:line="252" w:lineRule="auto"/>
              <w:jc w:val="both"/>
              <w:rPr>
                <w:rFonts w:cs="Times New Roman"/>
                <w:sz w:val="28"/>
                <w:szCs w:val="28"/>
              </w:rPr>
            </w:pPr>
            <w:r w:rsidRPr="003C677A">
              <w:rPr>
                <w:rFonts w:cs="Times New Roman"/>
                <w:b/>
                <w:sz w:val="28"/>
                <w:szCs w:val="28"/>
              </w:rPr>
              <w:t>Điều 11. Lập, phê duyệt, điều chỉnh quy hoạch chi tiết cụm công nghiệp.</w:t>
            </w:r>
          </w:p>
        </w:tc>
        <w:tc>
          <w:tcPr>
            <w:tcW w:w="3061" w:type="dxa"/>
            <w:tcMar>
              <w:top w:w="100" w:type="dxa"/>
              <w:left w:w="90" w:type="dxa"/>
              <w:bottom w:w="100" w:type="dxa"/>
              <w:right w:w="90" w:type="dxa"/>
            </w:tcMar>
          </w:tcPr>
          <w:p w14:paraId="7BFC1D45" w14:textId="1257E6CC" w:rsidR="00B9072F" w:rsidRPr="003C677A" w:rsidRDefault="006A28D5">
            <w:pPr>
              <w:spacing w:line="252" w:lineRule="auto"/>
              <w:jc w:val="both"/>
              <w:rPr>
                <w:rFonts w:cs="Times New Roman"/>
                <w:sz w:val="28"/>
                <w:szCs w:val="28"/>
              </w:rPr>
            </w:pPr>
            <w:r w:rsidRPr="003C677A">
              <w:rPr>
                <w:rFonts w:cs="Times New Roman"/>
                <w:b/>
                <w:sz w:val="28"/>
                <w:szCs w:val="28"/>
              </w:rPr>
              <w:t>Điều 10. Lập, phê duyệt, điều chỉnh quy hoạch chi tiết cụm công nghiệp.</w:t>
            </w:r>
          </w:p>
        </w:tc>
        <w:tc>
          <w:tcPr>
            <w:tcW w:w="5208" w:type="dxa"/>
            <w:tcMar>
              <w:top w:w="100" w:type="dxa"/>
              <w:left w:w="90" w:type="dxa"/>
              <w:bottom w:w="100" w:type="dxa"/>
              <w:right w:w="90" w:type="dxa"/>
            </w:tcMar>
          </w:tcPr>
          <w:p w14:paraId="11FBD5C8" w14:textId="6610B888" w:rsidR="00B9072F" w:rsidRPr="003C677A" w:rsidRDefault="006A28D5">
            <w:pPr>
              <w:spacing w:line="252" w:lineRule="auto"/>
              <w:jc w:val="both"/>
              <w:rPr>
                <w:rFonts w:cs="Times New Roman"/>
                <w:sz w:val="28"/>
                <w:szCs w:val="28"/>
              </w:rPr>
            </w:pPr>
            <w:r w:rsidRPr="003C677A">
              <w:rPr>
                <w:rFonts w:cs="Times New Roman"/>
                <w:sz w:val="28"/>
                <w:szCs w:val="28"/>
              </w:rPr>
              <w:t xml:space="preserve">Kế thừa và chuyển số </w:t>
            </w:r>
            <w:r w:rsidR="003D7D47">
              <w:rPr>
                <w:rFonts w:cs="Times New Roman"/>
                <w:sz w:val="28"/>
                <w:szCs w:val="28"/>
              </w:rPr>
              <w:t>Đ</w:t>
            </w:r>
            <w:r w:rsidRPr="003C677A">
              <w:rPr>
                <w:rFonts w:cs="Times New Roman"/>
                <w:sz w:val="28"/>
                <w:szCs w:val="28"/>
              </w:rPr>
              <w:t>iều. Cập nhật thẩm quyền theo phạm vi địa giới hành chính: Sở Xây dựng thẩm định, trình Ủy ban nhân dân tỉnh đối với cụm công nghiệp thuộc từ hai xã trở lên; Ủy ban nhân dân cấp xã thẩm định, phê duyệt đối với cụm công nghiệp trong địa giới quản lý.</w:t>
            </w:r>
          </w:p>
        </w:tc>
      </w:tr>
    </w:tbl>
    <w:p w14:paraId="47268B3A"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4909"/>
        <w:gridCol w:w="3061"/>
        <w:gridCol w:w="5633"/>
      </w:tblGrid>
      <w:tr w:rsidR="00B9072F" w:rsidRPr="003C677A" w14:paraId="0C8A2C45" w14:textId="77777777" w:rsidTr="002543DC">
        <w:trPr>
          <w:tblHeader/>
          <w:jc w:val="center"/>
        </w:trPr>
        <w:tc>
          <w:tcPr>
            <w:tcW w:w="4909" w:type="dxa"/>
            <w:shd w:val="clear" w:color="auto" w:fill="D9EAF7"/>
            <w:vAlign w:val="center"/>
          </w:tcPr>
          <w:p w14:paraId="2CB81274"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2CA8B293"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633" w:type="dxa"/>
            <w:shd w:val="clear" w:color="auto" w:fill="D9EAF7"/>
            <w:vAlign w:val="center"/>
          </w:tcPr>
          <w:p w14:paraId="5ED78159"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0292E5C2" w14:textId="77777777" w:rsidTr="002543DC">
        <w:trPr>
          <w:trHeight w:val="2700"/>
          <w:jc w:val="center"/>
        </w:trPr>
        <w:tc>
          <w:tcPr>
            <w:tcW w:w="4909" w:type="dxa"/>
            <w:tcMar>
              <w:top w:w="100" w:type="dxa"/>
              <w:left w:w="90" w:type="dxa"/>
              <w:bottom w:w="100" w:type="dxa"/>
              <w:right w:w="90" w:type="dxa"/>
            </w:tcMar>
          </w:tcPr>
          <w:p w14:paraId="2BD10CFD"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12. Lập, thẩm định, phê duyệt, điều chỉnh, chấm dứt dự án đầu tư xây dựng hạ tầng kỹ thuật cụm công nghiệp.</w:t>
            </w:r>
          </w:p>
        </w:tc>
        <w:tc>
          <w:tcPr>
            <w:tcW w:w="3061" w:type="dxa"/>
            <w:tcMar>
              <w:top w:w="100" w:type="dxa"/>
              <w:left w:w="90" w:type="dxa"/>
              <w:bottom w:w="100" w:type="dxa"/>
              <w:right w:w="90" w:type="dxa"/>
            </w:tcMar>
          </w:tcPr>
          <w:p w14:paraId="0DEC090D"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11. Lập, thẩm định, phê duyệt, điều chỉnh, chấm dứt dự án đầu tư xây dựng hạ tầng kỹ thuật cụm công nghiệp.</w:t>
            </w:r>
          </w:p>
        </w:tc>
        <w:tc>
          <w:tcPr>
            <w:tcW w:w="5633" w:type="dxa"/>
            <w:tcMar>
              <w:top w:w="100" w:type="dxa"/>
              <w:left w:w="90" w:type="dxa"/>
              <w:bottom w:w="100" w:type="dxa"/>
              <w:right w:w="90" w:type="dxa"/>
            </w:tcMar>
          </w:tcPr>
          <w:p w14:paraId="3323E19C"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cập nhật Luật Xây dựng năm 2025, Nghị định số 217/2026/NĐ-CP, Luật Đầu tư năm 2025 và Nghị định số 96/2026/NĐ-CP. Làm rõ trách nhiệm lập, phê duyệt của chủ đầu tư và trách nhiệm thẩm định báo cáo nghiên cứu khả thi của Sở Xây dựng.</w:t>
            </w:r>
          </w:p>
        </w:tc>
      </w:tr>
      <w:tr w:rsidR="00B9072F" w:rsidRPr="003C677A" w14:paraId="36512BA5" w14:textId="77777777" w:rsidTr="002543DC">
        <w:trPr>
          <w:trHeight w:val="2700"/>
          <w:jc w:val="center"/>
        </w:trPr>
        <w:tc>
          <w:tcPr>
            <w:tcW w:w="4909" w:type="dxa"/>
            <w:tcMar>
              <w:top w:w="100" w:type="dxa"/>
              <w:left w:w="90" w:type="dxa"/>
              <w:bottom w:w="100" w:type="dxa"/>
              <w:right w:w="90" w:type="dxa"/>
            </w:tcMar>
          </w:tcPr>
          <w:p w14:paraId="5884ECE9"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13. Thực hiện thủ tục về môi trường của dự án đầu tư xây dựng hạ tầng kỹ thuật cụm công nghiệp.</w:t>
            </w:r>
          </w:p>
        </w:tc>
        <w:tc>
          <w:tcPr>
            <w:tcW w:w="3061" w:type="dxa"/>
            <w:tcMar>
              <w:top w:w="100" w:type="dxa"/>
              <w:left w:w="90" w:type="dxa"/>
              <w:bottom w:w="100" w:type="dxa"/>
              <w:right w:w="90" w:type="dxa"/>
            </w:tcMar>
          </w:tcPr>
          <w:p w14:paraId="7E8191A4"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12. Thực hiện thủ tục về môi trường của dự án đầu tư xây dựng hạ tầng kỹ thuật cụm công nghiệp.</w:t>
            </w:r>
          </w:p>
        </w:tc>
        <w:tc>
          <w:tcPr>
            <w:tcW w:w="5633" w:type="dxa"/>
            <w:tcMar>
              <w:top w:w="100" w:type="dxa"/>
              <w:left w:w="90" w:type="dxa"/>
              <w:bottom w:w="100" w:type="dxa"/>
              <w:right w:w="90" w:type="dxa"/>
            </w:tcMar>
          </w:tcPr>
          <w:p w14:paraId="4BBD401B"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chỉnh lý trình tự lập báo cáo đánh giá tác động môi trường đồng thời với báo cáo nghiên cứu khả thi, việc gửi quyết định phê duyệt kết quả thẩm định để phục vụ thẩm định dự án; cập nhật quy định về giấy phép môi trường và phân cấp thẩm quyền hiện hành.</w:t>
            </w:r>
          </w:p>
        </w:tc>
      </w:tr>
      <w:tr w:rsidR="00B9072F" w:rsidRPr="003C677A" w14:paraId="48BD22BE" w14:textId="77777777" w:rsidTr="002543DC">
        <w:trPr>
          <w:trHeight w:val="2700"/>
          <w:jc w:val="center"/>
        </w:trPr>
        <w:tc>
          <w:tcPr>
            <w:tcW w:w="4909" w:type="dxa"/>
            <w:tcMar>
              <w:top w:w="100" w:type="dxa"/>
              <w:left w:w="90" w:type="dxa"/>
              <w:bottom w:w="100" w:type="dxa"/>
              <w:right w:w="90" w:type="dxa"/>
            </w:tcMar>
          </w:tcPr>
          <w:p w14:paraId="630418A1"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14. Thu hồi đất, cho thuê đất đầu tư xây dựng hạ tầng kỹ thuật cụm công nghiệp.</w:t>
            </w:r>
          </w:p>
        </w:tc>
        <w:tc>
          <w:tcPr>
            <w:tcW w:w="3061" w:type="dxa"/>
            <w:tcMar>
              <w:top w:w="100" w:type="dxa"/>
              <w:left w:w="90" w:type="dxa"/>
              <w:bottom w:w="100" w:type="dxa"/>
              <w:right w:w="90" w:type="dxa"/>
            </w:tcMar>
          </w:tcPr>
          <w:p w14:paraId="2F31C177"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13. Thu hồi đất, cho thuê đất đầu tư xây dựng hạ tầng kỹ thuật cụm công nghiệp.</w:t>
            </w:r>
          </w:p>
        </w:tc>
        <w:tc>
          <w:tcPr>
            <w:tcW w:w="5633" w:type="dxa"/>
            <w:tcMar>
              <w:top w:w="100" w:type="dxa"/>
              <w:left w:w="90" w:type="dxa"/>
              <w:bottom w:w="100" w:type="dxa"/>
              <w:right w:w="90" w:type="dxa"/>
            </w:tcMar>
          </w:tcPr>
          <w:p w14:paraId="22D7B811"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cập nhật Luật Đất đai năm 2024 và các văn bản sửa đổi, hướng dẫn. Xác định Ủy ban nhân dân cấp xã thực hiện thu hồi đất, bồi thường, hỗ trợ, tái định cư, giao đất, cho thuê đất và cấp giấy chứng nhận theo thẩm quyền; chủ đầu tư đăng ký nhu cầu sử dụng đất và phối hợp thực hiện.</w:t>
            </w:r>
          </w:p>
        </w:tc>
      </w:tr>
    </w:tbl>
    <w:p w14:paraId="1AEAA034"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4626"/>
        <w:gridCol w:w="3061"/>
        <w:gridCol w:w="6058"/>
      </w:tblGrid>
      <w:tr w:rsidR="00B9072F" w:rsidRPr="003C677A" w14:paraId="676A2CC3" w14:textId="77777777" w:rsidTr="002543DC">
        <w:trPr>
          <w:tblHeader/>
          <w:jc w:val="center"/>
        </w:trPr>
        <w:tc>
          <w:tcPr>
            <w:tcW w:w="4626" w:type="dxa"/>
            <w:shd w:val="clear" w:color="auto" w:fill="D9EAF7"/>
            <w:vAlign w:val="center"/>
          </w:tcPr>
          <w:p w14:paraId="3610A1D0"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371C87DF"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6058" w:type="dxa"/>
            <w:shd w:val="clear" w:color="auto" w:fill="D9EAF7"/>
            <w:vAlign w:val="center"/>
          </w:tcPr>
          <w:p w14:paraId="5C9551A6"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23FD3F95" w14:textId="77777777" w:rsidTr="002543DC">
        <w:trPr>
          <w:trHeight w:val="2700"/>
          <w:jc w:val="center"/>
        </w:trPr>
        <w:tc>
          <w:tcPr>
            <w:tcW w:w="4626" w:type="dxa"/>
            <w:tcMar>
              <w:top w:w="100" w:type="dxa"/>
              <w:left w:w="90" w:type="dxa"/>
              <w:bottom w:w="100" w:type="dxa"/>
              <w:right w:w="90" w:type="dxa"/>
            </w:tcMar>
          </w:tcPr>
          <w:p w14:paraId="6F441E69"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15. Tiếp nhận và thực hiện các thủ tục đầu tư, xây dựng, đất đai, môi trường đối với các dự án đầu tư sản xuất kinh doanh vào cụm công nghiệp.</w:t>
            </w:r>
          </w:p>
        </w:tc>
        <w:tc>
          <w:tcPr>
            <w:tcW w:w="3061" w:type="dxa"/>
            <w:tcMar>
              <w:top w:w="100" w:type="dxa"/>
              <w:left w:w="90" w:type="dxa"/>
              <w:bottom w:w="100" w:type="dxa"/>
              <w:right w:w="90" w:type="dxa"/>
            </w:tcMar>
          </w:tcPr>
          <w:p w14:paraId="234F9FBA"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14. Tiếp nhận và thực hiện các thủ tục đầu tư, xây dựng, đất đai, môi trường đối với các dự án đầu tư sản xuất kinh doanh vào cụm công nghiệp.</w:t>
            </w:r>
          </w:p>
        </w:tc>
        <w:tc>
          <w:tcPr>
            <w:tcW w:w="6058" w:type="dxa"/>
            <w:tcMar>
              <w:top w:w="100" w:type="dxa"/>
              <w:left w:w="90" w:type="dxa"/>
              <w:bottom w:w="100" w:type="dxa"/>
              <w:right w:w="90" w:type="dxa"/>
            </w:tcMar>
          </w:tcPr>
          <w:p w14:paraId="40AF6688"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mục tiêu hướng dẫn nhà đầu tư thứ cấp nhưng viết lại quy trình theo hướng rõ vai trò của chủ đầu tư hạ tầng trong xác nhận sự phù hợp về ngành nghề, quy hoạch, quỹ đất và khả năng đáp ứng hạ tầng. Phân định các thủ tục chấp thuận chủ trương đầu tư, đăng ký đầu tư, môi trường, xây dựng và đất đai theo pháp luật chuyên ngành.</w:t>
            </w:r>
          </w:p>
        </w:tc>
      </w:tr>
      <w:tr w:rsidR="00B9072F" w:rsidRPr="003C677A" w14:paraId="42E8ED88" w14:textId="77777777" w:rsidTr="002543DC">
        <w:trPr>
          <w:trHeight w:val="2700"/>
          <w:jc w:val="center"/>
        </w:trPr>
        <w:tc>
          <w:tcPr>
            <w:tcW w:w="4626" w:type="dxa"/>
            <w:tcMar>
              <w:top w:w="100" w:type="dxa"/>
              <w:left w:w="90" w:type="dxa"/>
              <w:bottom w:w="100" w:type="dxa"/>
              <w:right w:w="90" w:type="dxa"/>
            </w:tcMar>
          </w:tcPr>
          <w:p w14:paraId="457CF83E"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16. Quản lý các dịch vụ công cộng, tiện ích.</w:t>
            </w:r>
          </w:p>
        </w:tc>
        <w:tc>
          <w:tcPr>
            <w:tcW w:w="3061" w:type="dxa"/>
            <w:tcMar>
              <w:top w:w="100" w:type="dxa"/>
              <w:left w:w="90" w:type="dxa"/>
              <w:bottom w:w="100" w:type="dxa"/>
              <w:right w:w="90" w:type="dxa"/>
            </w:tcMar>
          </w:tcPr>
          <w:p w14:paraId="664C3671"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15. Quản lý các dịch vụ công cộng, tiện ích.</w:t>
            </w:r>
          </w:p>
        </w:tc>
        <w:tc>
          <w:tcPr>
            <w:tcW w:w="6058" w:type="dxa"/>
            <w:tcMar>
              <w:top w:w="100" w:type="dxa"/>
              <w:left w:w="90" w:type="dxa"/>
              <w:bottom w:w="100" w:type="dxa"/>
              <w:right w:w="90" w:type="dxa"/>
            </w:tcMar>
          </w:tcPr>
          <w:p w14:paraId="14D177AD"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Tiếp tục phân biệt cụm công nghiệp đầu tư từ ngân sách với cụm công nghiệp do doanh nghiệp, hợp tác xã làm chủ đầu tư; cập nhật chủ thể quản lý theo mô hình cấp xã và quy định về giá dịch vụ, hợp đồng sử dụng dịch vụ công cộng, tiện ích.</w:t>
            </w:r>
          </w:p>
        </w:tc>
      </w:tr>
      <w:tr w:rsidR="00B9072F" w:rsidRPr="003C677A" w14:paraId="173A3121" w14:textId="77777777" w:rsidTr="002543DC">
        <w:trPr>
          <w:trHeight w:val="2700"/>
          <w:jc w:val="center"/>
        </w:trPr>
        <w:tc>
          <w:tcPr>
            <w:tcW w:w="4626" w:type="dxa"/>
            <w:tcMar>
              <w:top w:w="100" w:type="dxa"/>
              <w:left w:w="90" w:type="dxa"/>
              <w:bottom w:w="100" w:type="dxa"/>
              <w:right w:w="90" w:type="dxa"/>
            </w:tcMar>
          </w:tcPr>
          <w:p w14:paraId="7CED5165"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17. Quản lý hoạt động sản xuất kinh doanh, công tác thông tin báo cáo.</w:t>
            </w:r>
          </w:p>
        </w:tc>
        <w:tc>
          <w:tcPr>
            <w:tcW w:w="3061" w:type="dxa"/>
            <w:tcMar>
              <w:top w:w="100" w:type="dxa"/>
              <w:left w:w="90" w:type="dxa"/>
              <w:bottom w:w="100" w:type="dxa"/>
              <w:right w:w="90" w:type="dxa"/>
            </w:tcMar>
          </w:tcPr>
          <w:p w14:paraId="37588B79"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16. Quản lý hoạt động sản xuất kinh doanh, công tác thông tin báo cáo.</w:t>
            </w:r>
          </w:p>
        </w:tc>
        <w:tc>
          <w:tcPr>
            <w:tcW w:w="6058" w:type="dxa"/>
            <w:tcMar>
              <w:top w:w="100" w:type="dxa"/>
              <w:left w:w="90" w:type="dxa"/>
              <w:bottom w:w="100" w:type="dxa"/>
              <w:right w:w="90" w:type="dxa"/>
            </w:tcMar>
          </w:tcPr>
          <w:p w14:paraId="5AEB7D7E"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làm rõ nhóm thông tin báo cáo của dự án hạ tầng và dự án sản xuất kinh doanh; cập nhật trách nhiệm theo dõi của Sở Công Thương, cơ quan chuyên môn, Ủy ban nhân dân cấp xã, chủ đầu tư hạ tầng và nhà đầu tư thứ cấp theo Thông tư số 14/2024/TT-BCT.</w:t>
            </w:r>
          </w:p>
        </w:tc>
      </w:tr>
    </w:tbl>
    <w:p w14:paraId="2E7B771C"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4106"/>
        <w:gridCol w:w="3686"/>
        <w:gridCol w:w="5670"/>
      </w:tblGrid>
      <w:tr w:rsidR="00B9072F" w:rsidRPr="003C677A" w14:paraId="0B7ECBBB" w14:textId="77777777" w:rsidTr="002543DC">
        <w:trPr>
          <w:tblHeader/>
          <w:jc w:val="center"/>
        </w:trPr>
        <w:tc>
          <w:tcPr>
            <w:tcW w:w="4106" w:type="dxa"/>
            <w:shd w:val="clear" w:color="auto" w:fill="D9EAF7"/>
            <w:vAlign w:val="center"/>
          </w:tcPr>
          <w:p w14:paraId="519548E2"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686" w:type="dxa"/>
            <w:shd w:val="clear" w:color="auto" w:fill="D9EAF7"/>
            <w:vAlign w:val="center"/>
          </w:tcPr>
          <w:p w14:paraId="6719EC87"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670" w:type="dxa"/>
            <w:shd w:val="clear" w:color="auto" w:fill="D9EAF7"/>
            <w:vAlign w:val="center"/>
          </w:tcPr>
          <w:p w14:paraId="6893DC7E"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6D20D0BA" w14:textId="77777777" w:rsidTr="002543DC">
        <w:trPr>
          <w:trHeight w:val="3900"/>
          <w:jc w:val="center"/>
        </w:trPr>
        <w:tc>
          <w:tcPr>
            <w:tcW w:w="4106" w:type="dxa"/>
            <w:tcMar>
              <w:top w:w="100" w:type="dxa"/>
              <w:left w:w="90" w:type="dxa"/>
              <w:bottom w:w="100" w:type="dxa"/>
              <w:right w:w="90" w:type="dxa"/>
            </w:tcMar>
          </w:tcPr>
          <w:p w14:paraId="1A5A8560"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18. Công tác thanh tra, kiểm tra.</w:t>
            </w:r>
          </w:p>
        </w:tc>
        <w:tc>
          <w:tcPr>
            <w:tcW w:w="3686" w:type="dxa"/>
            <w:tcMar>
              <w:top w:w="100" w:type="dxa"/>
              <w:left w:w="90" w:type="dxa"/>
              <w:bottom w:w="100" w:type="dxa"/>
              <w:right w:w="90" w:type="dxa"/>
            </w:tcMar>
          </w:tcPr>
          <w:p w14:paraId="1DBB6F72"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17. Công tác thanh tra, kiểm tra.</w:t>
            </w:r>
          </w:p>
        </w:tc>
        <w:tc>
          <w:tcPr>
            <w:tcW w:w="5670" w:type="dxa"/>
            <w:tcMar>
              <w:top w:w="100" w:type="dxa"/>
              <w:left w:w="90" w:type="dxa"/>
              <w:bottom w:w="100" w:type="dxa"/>
              <w:right w:w="90" w:type="dxa"/>
            </w:tcMar>
          </w:tcPr>
          <w:p w14:paraId="3AAF2B67"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Cập nhật chủ thể thực hiện theo mô hình chính quyền địa phương 02 cấp; tiếp tục bảo đảm nguyên tắc phối hợp, hạn chế trùng lặp trong kiểm tra thường xuyên và quy định xử lý trường hợp có dấu hiệu vi phạm, sự cố môi trường, lao động, y tế, cháy nổ.</w:t>
            </w:r>
          </w:p>
        </w:tc>
      </w:tr>
      <w:tr w:rsidR="00B9072F" w:rsidRPr="003C677A" w14:paraId="2D9C50B8" w14:textId="77777777" w:rsidTr="002543DC">
        <w:trPr>
          <w:trHeight w:val="3900"/>
          <w:jc w:val="center"/>
        </w:trPr>
        <w:tc>
          <w:tcPr>
            <w:tcW w:w="4106" w:type="dxa"/>
            <w:tcMar>
              <w:top w:w="100" w:type="dxa"/>
              <w:left w:w="90" w:type="dxa"/>
              <w:bottom w:w="100" w:type="dxa"/>
              <w:right w:w="90" w:type="dxa"/>
            </w:tcMar>
          </w:tcPr>
          <w:p w14:paraId="1EF46642"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19. Trách nhiệm thi hành.</w:t>
            </w:r>
          </w:p>
        </w:tc>
        <w:tc>
          <w:tcPr>
            <w:tcW w:w="3686" w:type="dxa"/>
            <w:tcMar>
              <w:top w:w="100" w:type="dxa"/>
              <w:left w:w="90" w:type="dxa"/>
              <w:bottom w:w="100" w:type="dxa"/>
              <w:right w:w="90" w:type="dxa"/>
            </w:tcMar>
          </w:tcPr>
          <w:p w14:paraId="2103C107"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18. Trách nhiệm thi hành.</w:t>
            </w:r>
          </w:p>
        </w:tc>
        <w:tc>
          <w:tcPr>
            <w:tcW w:w="5670" w:type="dxa"/>
            <w:tcMar>
              <w:top w:w="100" w:type="dxa"/>
              <w:left w:w="90" w:type="dxa"/>
              <w:bottom w:w="100" w:type="dxa"/>
              <w:right w:w="90" w:type="dxa"/>
            </w:tcMar>
          </w:tcPr>
          <w:p w14:paraId="2810F539"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Tiếp tục xác định Sở Công Thương là đầu mối theo dõi, tổng hợp, hướng dẫn, kiểm tra và báo cáo; cập nhật trách nhiệm của các sở, ngành, Ủy ban nhân dân cấp xã và đơn vị liên quan theo cơ cấu tổ chức hiện hành.</w:t>
            </w:r>
          </w:p>
        </w:tc>
      </w:tr>
    </w:tbl>
    <w:p w14:paraId="60D1617B" w14:textId="77777777" w:rsidR="00B9072F" w:rsidRPr="003C677A" w:rsidRDefault="006A28D5">
      <w:pPr>
        <w:rPr>
          <w:rFonts w:cs="Times New Roman"/>
          <w:sz w:val="28"/>
          <w:szCs w:val="28"/>
        </w:rPr>
      </w:pPr>
      <w:r w:rsidRPr="003C677A">
        <w:rPr>
          <w:rFonts w:cs="Times New Roman"/>
          <w:sz w:val="28"/>
          <w:szCs w:val="28"/>
        </w:rPr>
        <w:br w:type="page"/>
      </w:r>
    </w:p>
    <w:tbl>
      <w:tblPr>
        <w:tblStyle w:val="TableGrid"/>
        <w:tblW w:w="0" w:type="auto"/>
        <w:jc w:val="center"/>
        <w:tblLayout w:type="fixed"/>
        <w:tblLook w:val="04A0" w:firstRow="1" w:lastRow="0" w:firstColumn="1" w:lastColumn="0" w:noHBand="0" w:noVBand="1"/>
      </w:tblPr>
      <w:tblGrid>
        <w:gridCol w:w="4909"/>
        <w:gridCol w:w="3061"/>
        <w:gridCol w:w="5066"/>
      </w:tblGrid>
      <w:tr w:rsidR="00B9072F" w:rsidRPr="003C677A" w14:paraId="63D41F9F" w14:textId="77777777" w:rsidTr="002543DC">
        <w:trPr>
          <w:tblHeader/>
          <w:jc w:val="center"/>
        </w:trPr>
        <w:tc>
          <w:tcPr>
            <w:tcW w:w="4909" w:type="dxa"/>
            <w:shd w:val="clear" w:color="auto" w:fill="D9EAF7"/>
            <w:vAlign w:val="center"/>
          </w:tcPr>
          <w:p w14:paraId="5B95A631" w14:textId="77777777" w:rsidR="00B9072F" w:rsidRPr="003C677A" w:rsidRDefault="006A28D5">
            <w:pPr>
              <w:jc w:val="center"/>
              <w:rPr>
                <w:rFonts w:cs="Times New Roman"/>
                <w:sz w:val="28"/>
                <w:szCs w:val="28"/>
              </w:rPr>
            </w:pPr>
            <w:r w:rsidRPr="003C677A">
              <w:rPr>
                <w:rFonts w:cs="Times New Roman"/>
                <w:b/>
                <w:sz w:val="28"/>
                <w:szCs w:val="28"/>
              </w:rPr>
              <w:lastRenderedPageBreak/>
              <w:t>Quyết định số 22/2025/QĐ-UBND</w:t>
            </w:r>
          </w:p>
        </w:tc>
        <w:tc>
          <w:tcPr>
            <w:tcW w:w="3061" w:type="dxa"/>
            <w:shd w:val="clear" w:color="auto" w:fill="D9EAF7"/>
            <w:vAlign w:val="center"/>
          </w:tcPr>
          <w:p w14:paraId="17157EF8" w14:textId="77777777" w:rsidR="00B9072F" w:rsidRPr="003C677A" w:rsidRDefault="006A28D5">
            <w:pPr>
              <w:jc w:val="center"/>
              <w:rPr>
                <w:rFonts w:cs="Times New Roman"/>
                <w:sz w:val="28"/>
                <w:szCs w:val="28"/>
              </w:rPr>
            </w:pPr>
            <w:r w:rsidRPr="003C677A">
              <w:rPr>
                <w:rFonts w:cs="Times New Roman"/>
                <w:b/>
                <w:sz w:val="28"/>
                <w:szCs w:val="28"/>
              </w:rPr>
              <w:t>Dự thảo Quyết định, Quy chế năm 2026</w:t>
            </w:r>
          </w:p>
        </w:tc>
        <w:tc>
          <w:tcPr>
            <w:tcW w:w="5066" w:type="dxa"/>
            <w:shd w:val="clear" w:color="auto" w:fill="D9EAF7"/>
            <w:vAlign w:val="center"/>
          </w:tcPr>
          <w:p w14:paraId="2EB4A96A" w14:textId="77777777" w:rsidR="00B9072F" w:rsidRPr="003C677A" w:rsidRDefault="006A28D5">
            <w:pPr>
              <w:jc w:val="center"/>
              <w:rPr>
                <w:rFonts w:cs="Times New Roman"/>
                <w:sz w:val="28"/>
                <w:szCs w:val="28"/>
              </w:rPr>
            </w:pPr>
            <w:r w:rsidRPr="003C677A">
              <w:rPr>
                <w:rFonts w:cs="Times New Roman"/>
                <w:b/>
                <w:sz w:val="28"/>
                <w:szCs w:val="28"/>
              </w:rPr>
              <w:t>Thuyết minh</w:t>
            </w:r>
          </w:p>
        </w:tc>
      </w:tr>
      <w:tr w:rsidR="00B9072F" w:rsidRPr="003C677A" w14:paraId="111AFDE0" w14:textId="77777777" w:rsidTr="002543DC">
        <w:trPr>
          <w:trHeight w:val="3900"/>
          <w:jc w:val="center"/>
        </w:trPr>
        <w:tc>
          <w:tcPr>
            <w:tcW w:w="4909" w:type="dxa"/>
            <w:tcMar>
              <w:top w:w="100" w:type="dxa"/>
              <w:left w:w="90" w:type="dxa"/>
              <w:bottom w:w="100" w:type="dxa"/>
              <w:right w:w="90" w:type="dxa"/>
            </w:tcMar>
          </w:tcPr>
          <w:p w14:paraId="5BCE07FA"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20. Khen thưởng, xử lý vi phạm.</w:t>
            </w:r>
          </w:p>
        </w:tc>
        <w:tc>
          <w:tcPr>
            <w:tcW w:w="3061" w:type="dxa"/>
            <w:tcMar>
              <w:top w:w="100" w:type="dxa"/>
              <w:left w:w="90" w:type="dxa"/>
              <w:bottom w:w="100" w:type="dxa"/>
              <w:right w:w="90" w:type="dxa"/>
            </w:tcMar>
          </w:tcPr>
          <w:p w14:paraId="0A14ED45"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19. Khen thưởng, xử lý vi phạm.</w:t>
            </w:r>
          </w:p>
        </w:tc>
        <w:tc>
          <w:tcPr>
            <w:tcW w:w="5066" w:type="dxa"/>
            <w:tcMar>
              <w:top w:w="100" w:type="dxa"/>
              <w:left w:w="90" w:type="dxa"/>
              <w:bottom w:w="100" w:type="dxa"/>
              <w:right w:w="90" w:type="dxa"/>
            </w:tcMar>
          </w:tcPr>
          <w:p w14:paraId="5FDF35AC"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Giữ nguyên nguyên tắc khen thưởng theo thành tích và xử lý vi phạm theo tính chất, mức độ; tiếp tục giao Sở Công Thương phối hợp đề xuất khen thưởng hoặc kiến nghị cơ quan có thẩm quyền xử lý.</w:t>
            </w:r>
          </w:p>
        </w:tc>
      </w:tr>
      <w:tr w:rsidR="00B9072F" w:rsidRPr="003C677A" w14:paraId="612F301F" w14:textId="77777777" w:rsidTr="002543DC">
        <w:trPr>
          <w:trHeight w:val="3900"/>
          <w:jc w:val="center"/>
        </w:trPr>
        <w:tc>
          <w:tcPr>
            <w:tcW w:w="4909" w:type="dxa"/>
            <w:tcMar>
              <w:top w:w="100" w:type="dxa"/>
              <w:left w:w="90" w:type="dxa"/>
              <w:bottom w:w="100" w:type="dxa"/>
              <w:right w:w="90" w:type="dxa"/>
            </w:tcMar>
          </w:tcPr>
          <w:p w14:paraId="538A2D8D"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21. Điều khoản thi hành.</w:t>
            </w:r>
          </w:p>
        </w:tc>
        <w:tc>
          <w:tcPr>
            <w:tcW w:w="3061" w:type="dxa"/>
            <w:tcMar>
              <w:top w:w="100" w:type="dxa"/>
              <w:left w:w="90" w:type="dxa"/>
              <w:bottom w:w="100" w:type="dxa"/>
              <w:right w:w="90" w:type="dxa"/>
            </w:tcMar>
          </w:tcPr>
          <w:p w14:paraId="77025662" w14:textId="77777777" w:rsidR="00B9072F" w:rsidRPr="003C677A" w:rsidRDefault="006A28D5">
            <w:pPr>
              <w:spacing w:line="252" w:lineRule="auto"/>
              <w:jc w:val="both"/>
              <w:rPr>
                <w:rFonts w:cs="Times New Roman"/>
                <w:sz w:val="28"/>
                <w:szCs w:val="28"/>
              </w:rPr>
            </w:pPr>
            <w:r w:rsidRPr="003C677A">
              <w:rPr>
                <w:rFonts w:cs="Times New Roman"/>
                <w:b/>
                <w:sz w:val="28"/>
                <w:szCs w:val="28"/>
              </w:rPr>
              <w:t>Điều 20. Điều khoản thi hành.</w:t>
            </w:r>
          </w:p>
        </w:tc>
        <w:tc>
          <w:tcPr>
            <w:tcW w:w="5066" w:type="dxa"/>
            <w:tcMar>
              <w:top w:w="100" w:type="dxa"/>
              <w:left w:w="90" w:type="dxa"/>
              <w:bottom w:w="100" w:type="dxa"/>
              <w:right w:w="90" w:type="dxa"/>
            </w:tcMar>
          </w:tcPr>
          <w:p w14:paraId="2FB8D77A" w14:textId="77777777" w:rsidR="00B9072F" w:rsidRPr="003C677A" w:rsidRDefault="006A28D5">
            <w:pPr>
              <w:spacing w:line="252" w:lineRule="auto"/>
              <w:jc w:val="both"/>
              <w:rPr>
                <w:rFonts w:cs="Times New Roman"/>
                <w:sz w:val="28"/>
                <w:szCs w:val="28"/>
              </w:rPr>
            </w:pPr>
            <w:r w:rsidRPr="003C677A">
              <w:rPr>
                <w:rFonts w:cs="Times New Roman"/>
                <w:sz w:val="28"/>
                <w:szCs w:val="28"/>
              </w:rPr>
              <w:t>Kế thừa và chuyển số điều. Quy định áp dụng văn bản sửa đổi, bổ sung hoặc thay thế khi các văn bản viện dẫn thay đổi; duy trì cơ chế phản ánh khó khăn, vướng mắc về Sở Công Thương để tổng hợp, báo cáo Ủy ban nhân dân tỉnh xem xét.</w:t>
            </w:r>
          </w:p>
        </w:tc>
      </w:tr>
    </w:tbl>
    <w:p w14:paraId="6A55F611" w14:textId="77777777" w:rsidR="006A28D5" w:rsidRPr="003C677A" w:rsidRDefault="006A28D5">
      <w:pPr>
        <w:rPr>
          <w:rFonts w:cs="Times New Roman"/>
          <w:sz w:val="28"/>
          <w:szCs w:val="28"/>
        </w:rPr>
      </w:pPr>
    </w:p>
    <w:sectPr w:rsidR="006A28D5" w:rsidRPr="003C677A" w:rsidSect="00331EDA">
      <w:footerReference w:type="default" r:id="rId8"/>
      <w:pgSz w:w="16838" w:h="11906" w:orient="landscape"/>
      <w:pgMar w:top="851" w:right="794" w:bottom="851" w:left="79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2D0A2" w14:textId="77777777" w:rsidR="001F3792" w:rsidRDefault="001F3792">
      <w:r>
        <w:separator/>
      </w:r>
    </w:p>
  </w:endnote>
  <w:endnote w:type="continuationSeparator" w:id="0">
    <w:p w14:paraId="3A63CA73" w14:textId="77777777" w:rsidR="001F3792" w:rsidRDefault="001F3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C4CE6" w14:textId="77777777" w:rsidR="00B9072F" w:rsidRDefault="006A28D5">
    <w:pPr>
      <w:pStyle w:val="Footer"/>
      <w:jc w:val="center"/>
    </w:pPr>
    <w:r>
      <w:fldChar w:fldCharType="begin"/>
    </w:r>
    <w:r>
      <w:instrText xml:space="preserve"> PAGE </w:instrText>
    </w:r>
    <w:r>
      <w:fldChar w:fldCharType="separate"/>
    </w:r>
    <w:r w:rsidR="00D05F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9DC14" w14:textId="77777777" w:rsidR="001F3792" w:rsidRDefault="001F3792">
      <w:r>
        <w:separator/>
      </w:r>
    </w:p>
  </w:footnote>
  <w:footnote w:type="continuationSeparator" w:id="0">
    <w:p w14:paraId="126D7DE4" w14:textId="77777777" w:rsidR="001F3792" w:rsidRDefault="001F37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36467853">
    <w:abstractNumId w:val="8"/>
  </w:num>
  <w:num w:numId="2" w16cid:durableId="2111005899">
    <w:abstractNumId w:val="6"/>
  </w:num>
  <w:num w:numId="3" w16cid:durableId="1024332302">
    <w:abstractNumId w:val="5"/>
  </w:num>
  <w:num w:numId="4" w16cid:durableId="275412504">
    <w:abstractNumId w:val="4"/>
  </w:num>
  <w:num w:numId="5" w16cid:durableId="120656093">
    <w:abstractNumId w:val="7"/>
  </w:num>
  <w:num w:numId="6" w16cid:durableId="437869471">
    <w:abstractNumId w:val="3"/>
  </w:num>
  <w:num w:numId="7" w16cid:durableId="851144903">
    <w:abstractNumId w:val="2"/>
  </w:num>
  <w:num w:numId="8" w16cid:durableId="300304910">
    <w:abstractNumId w:val="1"/>
  </w:num>
  <w:num w:numId="9" w16cid:durableId="1685552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408"/>
    <w:rsid w:val="0015074B"/>
    <w:rsid w:val="001E4DF3"/>
    <w:rsid w:val="001F3792"/>
    <w:rsid w:val="0020658A"/>
    <w:rsid w:val="00251B29"/>
    <w:rsid w:val="002543DC"/>
    <w:rsid w:val="002612E6"/>
    <w:rsid w:val="0029639D"/>
    <w:rsid w:val="00326F90"/>
    <w:rsid w:val="003301F0"/>
    <w:rsid w:val="0033026D"/>
    <w:rsid w:val="00331EDA"/>
    <w:rsid w:val="0037634E"/>
    <w:rsid w:val="003C677A"/>
    <w:rsid w:val="003D7D47"/>
    <w:rsid w:val="00635E2F"/>
    <w:rsid w:val="0067528A"/>
    <w:rsid w:val="00682415"/>
    <w:rsid w:val="006A28D5"/>
    <w:rsid w:val="00783036"/>
    <w:rsid w:val="0079464E"/>
    <w:rsid w:val="007A75E4"/>
    <w:rsid w:val="008B4A66"/>
    <w:rsid w:val="009910F2"/>
    <w:rsid w:val="00A14614"/>
    <w:rsid w:val="00AA1D8D"/>
    <w:rsid w:val="00B47730"/>
    <w:rsid w:val="00B9072F"/>
    <w:rsid w:val="00CB0664"/>
    <w:rsid w:val="00CF583E"/>
    <w:rsid w:val="00D05FD3"/>
    <w:rsid w:val="00D61BC1"/>
    <w:rsid w:val="00E556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2A0121"/>
  <w14:defaultImageDpi w14:val="300"/>
  <w15:docId w15:val="{F3559AE6-30F9-4451-AD7C-64DE44F7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1788</Words>
  <Characters>10194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dcterms:created xsi:type="dcterms:W3CDTF">2026-08-18T20:53:00Z</dcterms:created>
  <dcterms:modified xsi:type="dcterms:W3CDTF">2026-08-19T01:28:00Z</dcterms:modified>
  <cp:category/>
</cp:coreProperties>
</file>