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jc w:val="center"/>
        <w:tblLayout w:type="fixed"/>
        <w:tblLook w:val="04A0" w:firstRow="1" w:lastRow="0" w:firstColumn="1" w:lastColumn="0" w:noHBand="0" w:noVBand="1"/>
      </w:tblPr>
      <w:tblGrid>
        <w:gridCol w:w="3686"/>
        <w:gridCol w:w="5670"/>
      </w:tblGrid>
      <w:tr w:rsidR="00CC4015" w14:paraId="103641A7" w14:textId="77777777">
        <w:trPr>
          <w:trHeight w:val="820"/>
          <w:jc w:val="center"/>
        </w:trPr>
        <w:tc>
          <w:tcPr>
            <w:tcW w:w="3686" w:type="dxa"/>
          </w:tcPr>
          <w:p w14:paraId="670298AD" w14:textId="77777777" w:rsidR="00CC4015" w:rsidRDefault="00000000">
            <w:pPr>
              <w:jc w:val="center"/>
              <w:rPr>
                <w:sz w:val="26"/>
                <w:szCs w:val="26"/>
              </w:rPr>
            </w:pPr>
            <w:r>
              <w:rPr>
                <w:sz w:val="26"/>
                <w:szCs w:val="26"/>
              </w:rPr>
              <w:t>BỘ CÔNG AN</w:t>
            </w:r>
          </w:p>
          <w:p w14:paraId="69A80847" w14:textId="77777777" w:rsidR="00CC4015" w:rsidRDefault="00000000">
            <w:pPr>
              <w:ind w:left="-108"/>
              <w:jc w:val="center"/>
              <w:rPr>
                <w:b/>
                <w:sz w:val="28"/>
                <w:szCs w:val="28"/>
              </w:rPr>
            </w:pPr>
            <w:r>
              <w:rPr>
                <w:b/>
                <w:sz w:val="28"/>
                <w:szCs w:val="28"/>
              </w:rPr>
              <w:t>CÔNG AN TỈNH ĐẮK LẮK</w:t>
            </w:r>
          </w:p>
          <w:p w14:paraId="6E527E0E" w14:textId="77777777" w:rsidR="00CC4015" w:rsidRDefault="00000000">
            <w:pPr>
              <w:jc w:val="center"/>
              <w:rPr>
                <w:sz w:val="12"/>
                <w:szCs w:val="12"/>
              </w:rPr>
            </w:pPr>
            <w:r>
              <w:rPr>
                <w:noProof/>
                <w:sz w:val="12"/>
                <w:szCs w:val="12"/>
              </w:rPr>
              <mc:AlternateContent>
                <mc:Choice Requires="wps">
                  <w:drawing>
                    <wp:anchor distT="0" distB="0" distL="0" distR="0" simplePos="0" relativeHeight="2" behindDoc="0" locked="0" layoutInCell="1" allowOverlap="1" wp14:anchorId="68594143" wp14:editId="432994F6">
                      <wp:simplePos x="0" y="0"/>
                      <wp:positionH relativeFrom="column">
                        <wp:posOffset>647700</wp:posOffset>
                      </wp:positionH>
                      <wp:positionV relativeFrom="paragraph">
                        <wp:posOffset>14605</wp:posOffset>
                      </wp:positionV>
                      <wp:extent cx="895350" cy="635"/>
                      <wp:effectExtent l="5080" t="5715" r="5715" b="5080"/>
                      <wp:wrapNone/>
                      <wp:docPr id="1" name="Straight Arrow Connector 4"/>
                      <wp:cNvGraphicFramePr/>
                      <a:graphic xmlns:a="http://schemas.openxmlformats.org/drawingml/2006/main">
                        <a:graphicData uri="http://schemas.microsoft.com/office/word/2010/wordprocessingShape">
                          <wps:wsp>
                            <wps:cNvCnPr/>
                            <wps:spPr>
                              <a:xfrm>
                                <a:off x="0" y="0"/>
                                <a:ext cx="8953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shapetype id="_x0000_t32" coordsize="21600,21600" o:spt="32" path="m,l21600,21600nfe">
                      <v:stroke joinstyle="miter"/>
                      <v:path gradientshapeok="t" o:connecttype="rect" textboxrect="0,0,21600,21600"/>
                    </v:shapetype>
                    <v:shape id="shape_0" stroked="t" o:allowincell="t" style="position:absolute;margin-left:51pt;margin-top:1.15pt;width:70.45pt;height:0pt;mso-wrap-style:none;v-text-anchor:middle" wp14:anchorId="0211CE60" type="_x0000_t32" path="m0,0l-2147483648,-2147483647e">
                      <v:fill o:detectmouseclick="t" on="false"/>
                      <v:stroke color="black" weight="9360" joinstyle="round" endcap="flat"/>
                      <w10:wrap type="none"/>
                    </v:shape>
                  </w:pict>
                </mc:Fallback>
              </mc:AlternateContent>
            </w:r>
          </w:p>
          <w:p w14:paraId="6DBADF5C" w14:textId="77777777" w:rsidR="00CC4015" w:rsidRDefault="00000000">
            <w:pPr>
              <w:jc w:val="center"/>
              <w:rPr>
                <w:sz w:val="26"/>
                <w:szCs w:val="26"/>
              </w:rPr>
            </w:pPr>
            <w:r>
              <w:rPr>
                <w:sz w:val="26"/>
                <w:szCs w:val="26"/>
              </w:rPr>
              <w:t xml:space="preserve">Số: </w:t>
            </w:r>
            <w:r>
              <w:rPr>
                <w:b/>
                <w:bCs/>
                <w:sz w:val="26"/>
                <w:szCs w:val="26"/>
              </w:rPr>
              <w:t xml:space="preserve">       </w:t>
            </w:r>
            <w:r>
              <w:rPr>
                <w:sz w:val="26"/>
                <w:szCs w:val="26"/>
              </w:rPr>
              <w:t>/BC-CAT</w:t>
            </w:r>
          </w:p>
          <w:p w14:paraId="3517CB6D" w14:textId="77777777" w:rsidR="00CC4015" w:rsidRDefault="00000000">
            <w:pPr>
              <w:jc w:val="center"/>
              <w:rPr>
                <w:sz w:val="28"/>
                <w:szCs w:val="28"/>
              </w:rPr>
            </w:pPr>
            <w:r>
              <w:rPr>
                <w:noProof/>
                <w:sz w:val="28"/>
                <w:szCs w:val="28"/>
              </w:rPr>
              <mc:AlternateContent>
                <mc:Choice Requires="wps">
                  <w:drawing>
                    <wp:anchor distT="0" distB="24765" distL="0" distR="22860" simplePos="0" relativeHeight="5" behindDoc="0" locked="0" layoutInCell="1" allowOverlap="1" wp14:anchorId="2D44713E" wp14:editId="35B92321">
                      <wp:simplePos x="0" y="0"/>
                      <wp:positionH relativeFrom="column">
                        <wp:posOffset>-66675</wp:posOffset>
                      </wp:positionH>
                      <wp:positionV relativeFrom="paragraph">
                        <wp:posOffset>105410</wp:posOffset>
                      </wp:positionV>
                      <wp:extent cx="1005840" cy="299085"/>
                      <wp:effectExtent l="5080" t="5715" r="5080" b="4445"/>
                      <wp:wrapNone/>
                      <wp:docPr id="2" name="Rectangle 3"/>
                      <wp:cNvGraphicFramePr/>
                      <a:graphic xmlns:a="http://schemas.openxmlformats.org/drawingml/2006/main">
                        <a:graphicData uri="http://schemas.microsoft.com/office/word/2010/wordprocessingShape">
                          <wps:wsp>
                            <wps:cNvSpPr/>
                            <wps:spPr>
                              <a:xfrm>
                                <a:off x="0" y="0"/>
                                <a:ext cx="1005840" cy="2991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18F08936" w14:textId="77777777" w:rsidR="00CC4015" w:rsidRDefault="00000000">
                                  <w:pPr>
                                    <w:pStyle w:val="FrameContents"/>
                                    <w:jc w:val="center"/>
                                    <w:rPr>
                                      <w:b/>
                                      <w:sz w:val="26"/>
                                      <w:szCs w:val="26"/>
                                    </w:rPr>
                                  </w:pPr>
                                  <w:r>
                                    <w:rPr>
                                      <w:b/>
                                      <w:sz w:val="26"/>
                                      <w:szCs w:val="26"/>
                                    </w:rPr>
                                    <w:t>DỰ THẢO</w:t>
                                  </w:r>
                                </w:p>
                              </w:txbxContent>
                            </wps:txbx>
                            <wps:bodyPr anchor="t" upright="1">
                              <a:noAutofit/>
                            </wps:bodyPr>
                          </wps:wsp>
                        </a:graphicData>
                      </a:graphic>
                    </wp:anchor>
                  </w:drawing>
                </mc:Choice>
                <mc:Fallback xmlns:pic="http://schemas.openxmlformats.org/drawingml/2006/picture">
                  <w:pict>
                    <v:rect id="shape_0" fillcolor="white" stroked="t" o:allowincell="t" style="position:absolute;margin-left:-5.25pt;margin-top:8.3pt;width:79.15pt;height:23.5pt;mso-wrap-style:square;v-text-anchor:top" wp14:anchorId="7E9BA655">
                      <v:fill o:detectmouseclick="t" type="solid" color2="black"/>
                      <v:stroke color="black" weight="9360" joinstyle="miter" endcap="flat"/>
                      <v:textbox>
                        <w:txbxContent>
                          <w:p>
                            <w:pPr>
                              <w:pStyle w:val="FrameContents"/>
                              <w:jc w:val="center"/>
                              <w:rPr>
                                <w:b/>
                                <w:sz w:val="26"/>
                                <w:szCs w:val="26"/>
                              </w:rPr>
                            </w:pPr>
                            <w:r>
                              <w:rPr>
                                <w:b/>
                                <w:sz w:val="26"/>
                                <w:szCs w:val="26"/>
                              </w:rPr>
                              <w:t>DỰ THẢO</w:t>
                            </w:r>
                          </w:p>
                        </w:txbxContent>
                      </v:textbox>
                      <w10:wrap type="none"/>
                    </v:rect>
                  </w:pict>
                </mc:Fallback>
              </mc:AlternateContent>
            </w:r>
          </w:p>
        </w:tc>
        <w:tc>
          <w:tcPr>
            <w:tcW w:w="5670" w:type="dxa"/>
          </w:tcPr>
          <w:p w14:paraId="6CE3E9F0" w14:textId="77777777" w:rsidR="00CC4015" w:rsidRDefault="00000000">
            <w:pPr>
              <w:ind w:left="-108"/>
              <w:jc w:val="center"/>
              <w:rPr>
                <w:b/>
                <w:sz w:val="26"/>
                <w:szCs w:val="26"/>
              </w:rPr>
            </w:pPr>
            <w:r>
              <w:rPr>
                <w:b/>
                <w:sz w:val="26"/>
                <w:szCs w:val="26"/>
              </w:rPr>
              <w:t>CỘNG HOÀ XÃ HỘI CHỦ NGHĨA VIỆT NAM</w:t>
            </w:r>
          </w:p>
          <w:p w14:paraId="7E92981E" w14:textId="77777777" w:rsidR="00CC4015" w:rsidRDefault="00000000">
            <w:pPr>
              <w:jc w:val="center"/>
              <w:rPr>
                <w:b/>
                <w:sz w:val="28"/>
                <w:szCs w:val="28"/>
              </w:rPr>
            </w:pPr>
            <w:r>
              <w:rPr>
                <w:b/>
                <w:sz w:val="28"/>
                <w:szCs w:val="28"/>
              </w:rPr>
              <w:t>Độc lập - Tự do - Hạnh phúc</w:t>
            </w:r>
          </w:p>
          <w:p w14:paraId="58E2A185" w14:textId="77777777" w:rsidR="00CC4015" w:rsidRDefault="00000000">
            <w:pPr>
              <w:jc w:val="center"/>
              <w:rPr>
                <w:i/>
                <w:sz w:val="12"/>
                <w:szCs w:val="12"/>
              </w:rPr>
            </w:pPr>
            <w:r>
              <w:rPr>
                <w:i/>
                <w:noProof/>
                <w:sz w:val="12"/>
                <w:szCs w:val="12"/>
              </w:rPr>
              <mc:AlternateContent>
                <mc:Choice Requires="wps">
                  <w:drawing>
                    <wp:anchor distT="0" distB="0" distL="0" distR="0" simplePos="0" relativeHeight="3" behindDoc="0" locked="0" layoutInCell="1" allowOverlap="1" wp14:anchorId="1A856708" wp14:editId="0ACE60AC">
                      <wp:simplePos x="0" y="0"/>
                      <wp:positionH relativeFrom="column">
                        <wp:posOffset>664845</wp:posOffset>
                      </wp:positionH>
                      <wp:positionV relativeFrom="paragraph">
                        <wp:posOffset>12065</wp:posOffset>
                      </wp:positionV>
                      <wp:extent cx="2105025" cy="635"/>
                      <wp:effectExtent l="635" t="3175" r="635" b="3175"/>
                      <wp:wrapNone/>
                      <wp:docPr id="3" name="Straight Connector 2"/>
                      <wp:cNvGraphicFramePr/>
                      <a:graphic xmlns:a="http://schemas.openxmlformats.org/drawingml/2006/main">
                        <a:graphicData uri="http://schemas.microsoft.com/office/word/2010/wordprocessingShape">
                          <wps:wsp>
                            <wps:cNvCnPr/>
                            <wps:spPr>
                              <a:xfrm>
                                <a:off x="0" y="0"/>
                                <a:ext cx="210492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52.35pt,0.95pt" to="218.05pt,0.95pt" stroked="t" o:allowincell="t" style="position:absolute" wp14:anchorId="70E42341">
                      <v:stroke color="black" weight="6480" joinstyle="miter" endcap="flat"/>
                      <v:fill o:detectmouseclick="t" on="false"/>
                      <w10:wrap type="none"/>
                    </v:line>
                  </w:pict>
                </mc:Fallback>
              </mc:AlternateContent>
            </w:r>
          </w:p>
          <w:p w14:paraId="095B5771" w14:textId="77777777" w:rsidR="00CC4015" w:rsidRDefault="00000000">
            <w:pPr>
              <w:jc w:val="right"/>
              <w:rPr>
                <w:i/>
                <w:sz w:val="26"/>
                <w:szCs w:val="26"/>
              </w:rPr>
            </w:pPr>
            <w:r>
              <w:rPr>
                <w:i/>
                <w:sz w:val="26"/>
                <w:szCs w:val="26"/>
              </w:rPr>
              <w:t>Đắk Lắk, ngày       tháng 8 năm 2026</w:t>
            </w:r>
          </w:p>
        </w:tc>
      </w:tr>
    </w:tbl>
    <w:p w14:paraId="0C814E9B" w14:textId="77777777" w:rsidR="00CC4015" w:rsidRDefault="00CC4015">
      <w:pPr>
        <w:tabs>
          <w:tab w:val="left" w:pos="3825"/>
        </w:tabs>
        <w:rPr>
          <w:b/>
          <w:sz w:val="28"/>
          <w:szCs w:val="28"/>
        </w:rPr>
      </w:pPr>
    </w:p>
    <w:p w14:paraId="57B146DB" w14:textId="77777777" w:rsidR="00CC4015" w:rsidRDefault="00000000">
      <w:pPr>
        <w:tabs>
          <w:tab w:val="left" w:pos="3825"/>
        </w:tabs>
        <w:jc w:val="center"/>
        <w:rPr>
          <w:b/>
          <w:sz w:val="28"/>
          <w:szCs w:val="28"/>
        </w:rPr>
      </w:pPr>
      <w:r>
        <w:rPr>
          <w:b/>
          <w:sz w:val="28"/>
          <w:szCs w:val="28"/>
        </w:rPr>
        <w:t>BÁO CÁO</w:t>
      </w:r>
      <w:r>
        <w:rPr>
          <w:b/>
          <w:sz w:val="28"/>
          <w:szCs w:val="28"/>
        </w:rPr>
        <w:br/>
        <w:t xml:space="preserve">Đánh giá thực trạng quan hệ xã hội có liên quan đến dự thảo </w:t>
      </w:r>
    </w:p>
    <w:p w14:paraId="46F82264" w14:textId="77777777" w:rsidR="00CC4015" w:rsidRDefault="00000000">
      <w:pPr>
        <w:tabs>
          <w:tab w:val="left" w:pos="3825"/>
        </w:tabs>
        <w:jc w:val="center"/>
        <w:rPr>
          <w:b/>
          <w:sz w:val="28"/>
          <w:szCs w:val="28"/>
        </w:rPr>
      </w:pPr>
      <w:r>
        <w:rPr>
          <w:b/>
          <w:sz w:val="28"/>
          <w:szCs w:val="28"/>
        </w:rPr>
        <w:t xml:space="preserve">Quyết định ban hành Quy chế phối hợp giữa các sở, ban, ngành và </w:t>
      </w:r>
    </w:p>
    <w:p w14:paraId="384C2035" w14:textId="77777777" w:rsidR="00CC4015" w:rsidRDefault="00000000">
      <w:pPr>
        <w:tabs>
          <w:tab w:val="left" w:pos="3825"/>
        </w:tabs>
        <w:jc w:val="center"/>
        <w:rPr>
          <w:b/>
          <w:sz w:val="28"/>
          <w:szCs w:val="28"/>
        </w:rPr>
      </w:pPr>
      <w:r>
        <w:rPr>
          <w:b/>
          <w:sz w:val="28"/>
          <w:szCs w:val="28"/>
        </w:rPr>
        <w:t xml:space="preserve">Ủy ban nhân dân cấp xã trong công tác quản lý người nước ngoài </w:t>
      </w:r>
    </w:p>
    <w:p w14:paraId="5B7C6ED7" w14:textId="77777777" w:rsidR="00CC4015" w:rsidRDefault="00000000">
      <w:pPr>
        <w:tabs>
          <w:tab w:val="left" w:pos="3825"/>
        </w:tabs>
        <w:jc w:val="center"/>
        <w:rPr>
          <w:b/>
          <w:bCs/>
          <w:sz w:val="28"/>
          <w:szCs w:val="28"/>
        </w:rPr>
      </w:pPr>
      <w:r>
        <w:rPr>
          <w:b/>
          <w:sz w:val="28"/>
          <w:szCs w:val="28"/>
        </w:rPr>
        <w:t xml:space="preserve">cư trú, hoạt động trên địa bàn tỉnh Đắk Lắk </w:t>
      </w:r>
    </w:p>
    <w:p w14:paraId="4FB502EC" w14:textId="77777777" w:rsidR="00CC4015" w:rsidRDefault="00000000">
      <w:pPr>
        <w:spacing w:before="120" w:after="120"/>
        <w:jc w:val="center"/>
        <w:rPr>
          <w:sz w:val="28"/>
          <w:szCs w:val="28"/>
        </w:rPr>
      </w:pPr>
      <w:r>
        <w:rPr>
          <w:noProof/>
          <w:sz w:val="28"/>
          <w:szCs w:val="28"/>
        </w:rPr>
        <mc:AlternateContent>
          <mc:Choice Requires="wps">
            <w:drawing>
              <wp:anchor distT="0" distB="0" distL="0" distR="0" simplePos="0" relativeHeight="4" behindDoc="0" locked="0" layoutInCell="1" allowOverlap="1" wp14:anchorId="2A5F53E4" wp14:editId="26222E84">
                <wp:simplePos x="0" y="0"/>
                <wp:positionH relativeFrom="column">
                  <wp:posOffset>2202180</wp:posOffset>
                </wp:positionH>
                <wp:positionV relativeFrom="paragraph">
                  <wp:posOffset>38735</wp:posOffset>
                </wp:positionV>
                <wp:extent cx="1371600" cy="635"/>
                <wp:effectExtent l="635" t="3175" r="0" b="3175"/>
                <wp:wrapNone/>
                <wp:docPr id="4" name="Straight Connector 1"/>
                <wp:cNvGraphicFramePr/>
                <a:graphic xmlns:a="http://schemas.openxmlformats.org/drawingml/2006/main">
                  <a:graphicData uri="http://schemas.microsoft.com/office/word/2010/wordprocessingShape">
                    <wps:wsp>
                      <wps:cNvCnPr/>
                      <wps:spPr>
                        <a:xfrm>
                          <a:off x="0" y="0"/>
                          <a:ext cx="137160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173.4pt,3.05pt" to="281.35pt,3.05pt" stroked="t" o:allowincell="f" style="position:absolute" wp14:anchorId="6EAB93DC">
                <v:stroke color="black" weight="6480" joinstyle="miter" endcap="flat"/>
                <v:fill o:detectmouseclick="t" on="false"/>
                <w10:wrap type="none"/>
              </v:line>
            </w:pict>
          </mc:Fallback>
        </mc:AlternateContent>
      </w:r>
    </w:p>
    <w:p w14:paraId="6E3E0940" w14:textId="77777777" w:rsidR="00CC4015" w:rsidRDefault="00000000">
      <w:pPr>
        <w:spacing w:before="120" w:after="120"/>
        <w:jc w:val="center"/>
        <w:rPr>
          <w:sz w:val="28"/>
          <w:szCs w:val="28"/>
        </w:rPr>
      </w:pPr>
      <w:r>
        <w:rPr>
          <w:sz w:val="28"/>
          <w:szCs w:val="28"/>
        </w:rPr>
        <w:t>Kính gửi: Ủy ban nhân dân tỉnh Đắk Lắk</w:t>
      </w:r>
    </w:p>
    <w:p w14:paraId="5CF5BD35" w14:textId="77777777" w:rsidR="00CC4015" w:rsidRDefault="00CC4015">
      <w:pPr>
        <w:jc w:val="both"/>
        <w:rPr>
          <w:sz w:val="28"/>
          <w:szCs w:val="28"/>
        </w:rPr>
      </w:pPr>
    </w:p>
    <w:p w14:paraId="5A6875E4" w14:textId="77777777" w:rsidR="00CC4015" w:rsidRDefault="00000000">
      <w:pPr>
        <w:tabs>
          <w:tab w:val="left" w:pos="3825"/>
        </w:tabs>
        <w:ind w:firstLineChars="171" w:firstLine="479"/>
        <w:jc w:val="both"/>
        <w:rPr>
          <w:sz w:val="28"/>
          <w:szCs w:val="28"/>
        </w:rPr>
      </w:pPr>
      <w:r>
        <w:rPr>
          <w:sz w:val="28"/>
          <w:szCs w:val="28"/>
        </w:rPr>
        <w:t>Thực hiện Luật Ban hành văn bản quy phạm pháp luật số 64/2025/QH15 đã được sửa đổi, bổ sung một số điều theo Luật số 87/2025/QH15 và Nghị định số 78/2025/NĐ-CP ngày 01 tháng 4 năm 2025 của Chính phủ quy định chi tiết một số điều và biện pháp để tổ chức, hướng dẫn thi hành Luật Ban hành văn bản quy phạm pháp luật được sửa đổi, bổ sung một số điều theo Nghị định số 187/2025/NĐ-CP,</w:t>
      </w:r>
      <w:r>
        <w:rPr>
          <w:sz w:val="28"/>
          <w:szCs w:val="28"/>
          <w:lang w:val="pt-BR"/>
        </w:rPr>
        <w:t xml:space="preserve"> Công an tỉnh Đắk Lắk báo cáo đánh giá thực trạng quan hệ xã hội có liên quan đến dự thảo Quyết định ban hành Quy chế phối hợp giữa các sở, ban, ngành và Ủy ban nhân dân cấp xã trong công tác quản lý người nước ngoài cư trú, hoạt động trên địa bàn tỉnh Đắk Lắk như sau:</w:t>
      </w:r>
    </w:p>
    <w:p w14:paraId="747F8B49" w14:textId="77777777" w:rsidR="00CC4015" w:rsidRDefault="00000000">
      <w:pPr>
        <w:spacing w:before="120" w:after="120" w:line="320" w:lineRule="exact"/>
        <w:ind w:firstLine="567"/>
        <w:jc w:val="both"/>
        <w:rPr>
          <w:b/>
          <w:bCs/>
          <w:sz w:val="28"/>
          <w:szCs w:val="28"/>
        </w:rPr>
      </w:pPr>
      <w:r>
        <w:rPr>
          <w:b/>
          <w:bCs/>
          <w:sz w:val="28"/>
          <w:szCs w:val="28"/>
        </w:rPr>
        <w:t>I. BỐI CẢNH THỰC HIỆN ĐÁNH GIÁ</w:t>
      </w:r>
    </w:p>
    <w:p w14:paraId="5C0F5918" w14:textId="77777777" w:rsidR="00CC4015" w:rsidRDefault="00000000">
      <w:pPr>
        <w:spacing w:before="120" w:after="120"/>
        <w:ind w:firstLine="567"/>
        <w:jc w:val="both"/>
        <w:rPr>
          <w:sz w:val="28"/>
          <w:szCs w:val="28"/>
        </w:rPr>
      </w:pPr>
      <w:r>
        <w:rPr>
          <w:b/>
          <w:bCs/>
          <w:sz w:val="28"/>
          <w:szCs w:val="28"/>
        </w:rPr>
        <w:t>1. B</w:t>
      </w:r>
      <w:r>
        <w:rPr>
          <w:b/>
          <w:bCs/>
          <w:sz w:val="28"/>
          <w:szCs w:val="28"/>
          <w:lang w:val="vi-VN"/>
        </w:rPr>
        <w:t>ối cảnh trong nước v</w:t>
      </w:r>
      <w:r>
        <w:rPr>
          <w:b/>
          <w:bCs/>
          <w:sz w:val="28"/>
          <w:szCs w:val="28"/>
        </w:rPr>
        <w:t>à qu</w:t>
      </w:r>
      <w:r>
        <w:rPr>
          <w:b/>
          <w:bCs/>
          <w:sz w:val="28"/>
          <w:szCs w:val="28"/>
          <w:lang w:val="vi-VN"/>
        </w:rPr>
        <w:t>ốc tế li</w:t>
      </w:r>
      <w:r>
        <w:rPr>
          <w:b/>
          <w:bCs/>
          <w:sz w:val="28"/>
          <w:szCs w:val="28"/>
        </w:rPr>
        <w:t>ên quan đ</w:t>
      </w:r>
      <w:r>
        <w:rPr>
          <w:b/>
          <w:bCs/>
          <w:sz w:val="28"/>
          <w:szCs w:val="28"/>
          <w:lang w:val="vi-VN"/>
        </w:rPr>
        <w:t>ến c</w:t>
      </w:r>
      <w:r>
        <w:rPr>
          <w:b/>
          <w:bCs/>
          <w:sz w:val="28"/>
          <w:szCs w:val="28"/>
        </w:rPr>
        <w:t>ác quan hệ xã hội</w:t>
      </w:r>
      <w:r>
        <w:rPr>
          <w:b/>
          <w:bCs/>
          <w:sz w:val="28"/>
          <w:szCs w:val="28"/>
          <w:lang w:val="vi-VN"/>
        </w:rPr>
        <w:t> </w:t>
      </w:r>
    </w:p>
    <w:p w14:paraId="53D9C502" w14:textId="77777777" w:rsidR="00CC4015" w:rsidRDefault="00000000">
      <w:pPr>
        <w:spacing w:before="120" w:after="120"/>
        <w:ind w:firstLine="567"/>
        <w:jc w:val="both"/>
        <w:rPr>
          <w:sz w:val="28"/>
          <w:szCs w:val="28"/>
        </w:rPr>
      </w:pPr>
      <w:r>
        <w:rPr>
          <w:sz w:val="28"/>
          <w:szCs w:val="28"/>
        </w:rPr>
        <w:t>Tình hình thế giới và khu vực tiếp tục diễn biến nhanh chóng, phức tạp, khó lường. Cạnh tranh chiến lược giữa các nước lớn, xung đột vũ trang tại một số khu vực, các thách thức an ninh phi truyền thống, biến đổi khí hậu, dịch bệnh, tội phạm xuyên quốc gia, tội phạm công nghệ cao và các hoạt động di cư, dịch chuyển lao động quốc tế tiếp tục tác động đến môi trường an ninh, phát triển kinh tế - xã hội của nhiều quốc gia, trong đó có Việt Nam. Bên cạnh đó, xu thế toàn cầu hóa, hội nhập quốc tế sâu rộng, chuyển đổi số, mở rộng hợp tác đầu tư, thương mại, giáo dục, du lịch và giao lưu nhân dân tiếp tục làm gia tăng nhu cầu đi lại, cư trú, lao động và hoạt động của người nước ngoài giữa các quốc gia.</w:t>
      </w:r>
    </w:p>
    <w:p w14:paraId="6467CF04" w14:textId="77777777" w:rsidR="00CC4015" w:rsidRDefault="00000000">
      <w:pPr>
        <w:spacing w:before="120" w:after="120"/>
        <w:ind w:firstLine="567"/>
        <w:jc w:val="both"/>
        <w:rPr>
          <w:sz w:val="28"/>
          <w:szCs w:val="28"/>
        </w:rPr>
      </w:pPr>
      <w:r>
        <w:rPr>
          <w:sz w:val="28"/>
          <w:szCs w:val="28"/>
        </w:rPr>
        <w:t xml:space="preserve">Theo Nghị quyết số 76/2025/UBTVQH15 ngày 14/4/2025 của Ủy ban Thường vụ Quốc hội về việc sắp xếp đơn vị hành chính năm 2025; Nghị quyết số 202/2025/QH15 ngày 12/6/2025 của Quốc hội về việc sắp xếp đơn vị hành chính cấp tỉnh, từ ngày 01/7/2025, tỉnh Đắk Lắk và Phú Yên được sáp nhập thành tỉnh Đắk Lắk, thực hiện chính quyền địa phương 02 cấp. Việc triển khai chủ trương sắp xếp, tinh gọn tổ chức bộ máy, điều chỉnh đơn vị hành chính đã tạo không gian phát triển mới, mở rộng quy mô quản lý và tăng cường khả năng thu hút các nguồn lực đầu tư trong và ngoài nước. Cùng với đó, số lượng người nước ngoài đến Việt Nam nói chung và đến các địa phương để đầu tư, làm việc, khảo sát thị trường, </w:t>
      </w:r>
      <w:r>
        <w:rPr>
          <w:sz w:val="28"/>
          <w:szCs w:val="28"/>
        </w:rPr>
        <w:lastRenderedPageBreak/>
        <w:t>du lịch, học tập, hoạt động nhân đạo và hợp tác quốc tế có xu hướng gia tăng, đặt ra yêu cầu ngày càng cao đối với công tác quản lý nhà nước về xuất nhập cảnh, cư trú và công tác bảo đảm an ninh, trật tự.</w:t>
      </w:r>
    </w:p>
    <w:p w14:paraId="7D7DBEDD" w14:textId="77777777" w:rsidR="00CC4015" w:rsidRDefault="00000000">
      <w:pPr>
        <w:spacing w:before="120" w:after="120"/>
        <w:ind w:firstLine="567"/>
        <w:jc w:val="both"/>
        <w:rPr>
          <w:b/>
          <w:bCs/>
          <w:sz w:val="28"/>
          <w:szCs w:val="28"/>
        </w:rPr>
      </w:pPr>
      <w:r>
        <w:rPr>
          <w:sz w:val="28"/>
          <w:szCs w:val="28"/>
        </w:rPr>
        <w:t>Trong bối cảnh đó, công tác quản lý người nước ngoài cần tiếp tục được thực hiện đồng bộ, chặt chẽ, đúng quy định của pháp luật, bảo đảm tạo điều kiện thuận lợi cho các hoạt động hợp pháp của tổ chức, cá nhân nước ngoài, đồng thời chủ động phòng ngừa, phát hiện, đấu tranh, xử lý kịp thời các hành vi lợi dụng nhập cảnh, cư trú và hoạt động trên lãnh thổ Việt Nam để vi phạm pháp luật, xâm phạm an ninh quốc gia, trật tự, an toàn xã hội.</w:t>
      </w:r>
      <w:r>
        <w:rPr>
          <w:b/>
          <w:bCs/>
          <w:sz w:val="28"/>
          <w:szCs w:val="28"/>
        </w:rPr>
        <w:t xml:space="preserve"> </w:t>
      </w:r>
    </w:p>
    <w:p w14:paraId="5C10327F" w14:textId="77777777" w:rsidR="00CC4015" w:rsidRDefault="00000000">
      <w:pPr>
        <w:spacing w:before="120" w:after="120"/>
        <w:ind w:firstLine="567"/>
        <w:jc w:val="both"/>
        <w:rPr>
          <w:b/>
          <w:bCs/>
          <w:sz w:val="28"/>
          <w:szCs w:val="28"/>
        </w:rPr>
      </w:pPr>
      <w:r>
        <w:rPr>
          <w:b/>
          <w:bCs/>
          <w:sz w:val="28"/>
          <w:szCs w:val="28"/>
        </w:rPr>
        <w:t>2. Các chủ trương, đường lối của Đảng, chính sách của Nhà nước liên quan đến quan hệ xã hội</w:t>
      </w:r>
    </w:p>
    <w:p w14:paraId="746E290C" w14:textId="77777777" w:rsidR="00CC4015" w:rsidRDefault="00000000">
      <w:pPr>
        <w:spacing w:before="120" w:after="120"/>
        <w:ind w:firstLine="567"/>
        <w:jc w:val="both"/>
        <w:rPr>
          <w:sz w:val="28"/>
          <w:szCs w:val="28"/>
        </w:rPr>
      </w:pPr>
      <w:r>
        <w:rPr>
          <w:sz w:val="28"/>
          <w:szCs w:val="28"/>
        </w:rPr>
        <w:t>Trong những năm qua, Đảng và Nhà nước ra luôn quan lãnh đạo, chỉ đạo công tác quản lý xuất cảnh, nhập cảnh, cư trú, hoạt động của người nước ngoài:</w:t>
      </w:r>
    </w:p>
    <w:p w14:paraId="41299550" w14:textId="77777777" w:rsidR="00CC4015" w:rsidRDefault="00000000">
      <w:pPr>
        <w:spacing w:before="120" w:after="120"/>
        <w:ind w:firstLine="567"/>
        <w:jc w:val="both"/>
        <w:rPr>
          <w:sz w:val="28"/>
          <w:szCs w:val="28"/>
          <w:lang w:val="pt-BR"/>
        </w:rPr>
      </w:pPr>
      <w:r>
        <w:rPr>
          <w:sz w:val="28"/>
          <w:szCs w:val="28"/>
          <w:lang w:val="pt-BR"/>
        </w:rPr>
        <w:t>Luật Nhập cảnh, xuất cảnh, quá cảnh, cư trú của người nước ngoài tại Việt Nam số 47/2014/QH13 đã được sửa đổi, bổ sung một số điều theo Luật số 51/2019/QH14, Luật số 23/2023/QH15, Luật số 103/2025/QH15 và Luật số 118/2025/QH15</w:t>
      </w:r>
      <w:r>
        <w:t xml:space="preserve"> </w:t>
      </w:r>
      <w:r>
        <w:rPr>
          <w:sz w:val="28"/>
          <w:szCs w:val="28"/>
          <w:lang w:val="pt-BR"/>
        </w:rPr>
        <w:t>không ngừng hoàn thiện chính sách, pháp luật về quản lý người nước ngoài theo hướng vừa tạo thuận lợi, vừa bảo đảm chặt chẽ về an ninh, trật tự;</w:t>
      </w:r>
      <w:r>
        <w:t xml:space="preserve"> </w:t>
      </w:r>
      <w:r>
        <w:rPr>
          <w:sz w:val="28"/>
          <w:szCs w:val="28"/>
          <w:lang w:val="pt-BR"/>
        </w:rPr>
        <w:t>góp phần hiện đại hóa công tác quản lý nhập cảnh, xuất cảnh, quá cảnh, cư trú của người nước ngoài, đáp ứng yêu cầu chuyển đổi số, hội nhập quốc tế và bảo đảm quốc phòng, an ninh trong tình hình mới.</w:t>
      </w:r>
    </w:p>
    <w:p w14:paraId="735203E3" w14:textId="77777777" w:rsidR="00CC4015" w:rsidRDefault="00000000">
      <w:pPr>
        <w:spacing w:before="120" w:after="120"/>
        <w:ind w:firstLine="567"/>
        <w:jc w:val="both"/>
        <w:rPr>
          <w:sz w:val="28"/>
          <w:szCs w:val="28"/>
        </w:rPr>
      </w:pPr>
      <w:r>
        <w:rPr>
          <w:iCs/>
          <w:sz w:val="28"/>
          <w:szCs w:val="28"/>
        </w:rPr>
        <w:t xml:space="preserve">Nghị định số 219/2025/NĐ-CP ngày 07/8/2025 của Chính phủ </w:t>
      </w:r>
      <w:r>
        <w:rPr>
          <w:iCs/>
          <w:sz w:val="28"/>
          <w:szCs w:val="28"/>
          <w:lang w:val="en-GB"/>
        </w:rPr>
        <w:t>quy định về người lao động nước ngoài làm việc tại Việt Nam với những chính sách linh hoạt hơn, giảm thời gian cấp giấy phép lao động để đáp ứng được nhu cầu sản xuất, kinh doanh của doanh nghiệp.</w:t>
      </w:r>
    </w:p>
    <w:p w14:paraId="2C6C15E6" w14:textId="77777777" w:rsidR="00CC4015" w:rsidRDefault="00000000">
      <w:pPr>
        <w:spacing w:before="120" w:after="120"/>
        <w:ind w:firstLine="567"/>
        <w:jc w:val="both"/>
        <w:rPr>
          <w:sz w:val="28"/>
          <w:szCs w:val="28"/>
        </w:rPr>
      </w:pPr>
      <w:r>
        <w:rPr>
          <w:iCs/>
          <w:sz w:val="28"/>
          <w:szCs w:val="28"/>
        </w:rPr>
        <w:t xml:space="preserve">Nghị định số 221/2025/NĐ-CP ngày 08/8/2025 của Chính phủ </w:t>
      </w:r>
      <w:r>
        <w:rPr>
          <w:iCs/>
          <w:sz w:val="28"/>
          <w:szCs w:val="28"/>
          <w:lang w:val="en-GB"/>
        </w:rPr>
        <w:t>quy định về việc miễn thị thực có thời hạn cho người nước ngoài thuộc diện đối tượng đặc biệt cần ưu đãi phục vụ phát triển kinh tế - xã hội nhằm thu hút người nước ngoài thuộc nhóm đối tượng tài năng, nhân lực chất lượng cao, khởi nghiệp sáng tạo, chuyên gia, nhà khoa học đầu ngành thuộc các lĩnh vực cần ưu đãi (như công nghiệp bán dẫn, công nghệ số cốt lõi...)</w:t>
      </w:r>
    </w:p>
    <w:p w14:paraId="4990EAE7" w14:textId="77777777" w:rsidR="00CC4015" w:rsidRDefault="00000000">
      <w:pPr>
        <w:spacing w:before="120" w:after="120"/>
        <w:ind w:firstLine="567"/>
        <w:jc w:val="both"/>
        <w:rPr>
          <w:sz w:val="28"/>
          <w:szCs w:val="28"/>
        </w:rPr>
      </w:pPr>
      <w:r>
        <w:rPr>
          <w:sz w:val="28"/>
          <w:szCs w:val="28"/>
        </w:rPr>
        <w:t>Bên cạnh đó, ngày 17/7/2026, Chính phủ đã ban hành Nghị định số 286/2026/NĐ-CP</w:t>
      </w:r>
      <w:r>
        <w:t xml:space="preserve"> </w:t>
      </w:r>
      <w:r>
        <w:rPr>
          <w:sz w:val="28"/>
          <w:szCs w:val="28"/>
        </w:rPr>
        <w:t xml:space="preserve">quy định cơ chế phối hợp giữa các bộ, cơ quan ngang bộ và Ủy ban nhân dân cấp tỉnh trong công tác quản lý nhập cảnh, xuất cảnh, quá cảnh, cư trú của người nước ngoài tại Việt Nam. Nghị định xác lập nguyên tắc, nội dung, hình thức phối hợp và phân định rõ trách nhiệm của các bộ, ngành, địa phương; tăng cường chia sẻ, liên thông dữ liệu, trao đổi thông tin, kiểm tra, xử lý và giải quyết các vụ việc liên quan đến người nước ngoài, góp phần nâng cao hiệu quả quản lý nhà nước, đáp ứng yêu cầu bảo đảm an ninh quốc gia, giữ gìn trật tự, an toàn xã hội trong tình hình mới. Nghị định có hiệu lực thi hành từ ngày 15/9/2026 và thay thế Nghị định số 64/2015/NĐ-CP, tạo cơ sở pháp lý đồng bộ, thống nhất để các địa phương triển khai công tác quản lý người nước ngoài, nhất là trong bối </w:t>
      </w:r>
      <w:r>
        <w:rPr>
          <w:sz w:val="28"/>
          <w:szCs w:val="28"/>
        </w:rPr>
        <w:lastRenderedPageBreak/>
        <w:t>cảnh thực hiện sắp xếp đơn vị hành chính và mở rộng phạm vi quản lý sau sáp nhập tỉnh.</w:t>
      </w:r>
    </w:p>
    <w:p w14:paraId="57906B4B" w14:textId="77777777" w:rsidR="00CC4015" w:rsidRDefault="00000000">
      <w:pPr>
        <w:spacing w:before="120" w:after="120"/>
        <w:ind w:firstLine="567"/>
        <w:jc w:val="both"/>
        <w:rPr>
          <w:b/>
          <w:bCs/>
          <w:sz w:val="28"/>
          <w:szCs w:val="28"/>
        </w:rPr>
      </w:pPr>
      <w:r>
        <w:rPr>
          <w:b/>
          <w:bCs/>
          <w:sz w:val="28"/>
          <w:szCs w:val="28"/>
        </w:rPr>
        <w:t>II. THỰC TRẠNG QUAN HỆ XÃ HỘI</w:t>
      </w:r>
    </w:p>
    <w:p w14:paraId="5A71121B" w14:textId="77777777" w:rsidR="00CC4015" w:rsidRDefault="00000000">
      <w:pPr>
        <w:spacing w:before="120" w:after="120" w:line="320" w:lineRule="exact"/>
        <w:ind w:firstLine="567"/>
        <w:jc w:val="both"/>
        <w:rPr>
          <w:b/>
          <w:bCs/>
          <w:spacing w:val="-2"/>
          <w:sz w:val="28"/>
          <w:szCs w:val="28"/>
        </w:rPr>
      </w:pPr>
      <w:r>
        <w:rPr>
          <w:b/>
          <w:bCs/>
          <w:spacing w:val="-2"/>
          <w:sz w:val="28"/>
          <w:szCs w:val="28"/>
        </w:rPr>
        <w:t>1. Lý do cần có quy định của pháp luật để điều chỉnh quan hệ xã hội</w:t>
      </w:r>
    </w:p>
    <w:p w14:paraId="3ED08B4C" w14:textId="77777777" w:rsidR="00CC4015" w:rsidRDefault="00000000">
      <w:pPr>
        <w:spacing w:before="120" w:after="120" w:line="252" w:lineRule="auto"/>
        <w:ind w:firstLine="567"/>
        <w:jc w:val="both"/>
        <w:rPr>
          <w:i/>
          <w:iCs/>
          <w:sz w:val="28"/>
          <w:szCs w:val="28"/>
        </w:rPr>
      </w:pPr>
      <w:r>
        <w:rPr>
          <w:sz w:val="28"/>
          <w:szCs w:val="28"/>
        </w:rPr>
        <w:t>-</w:t>
      </w:r>
      <w:r>
        <w:rPr>
          <w:sz w:val="28"/>
          <w:szCs w:val="28"/>
          <w:lang w:val="vi-VN"/>
        </w:rPr>
        <w:t xml:space="preserve"> </w:t>
      </w:r>
      <w:r>
        <w:rPr>
          <w:sz w:val="28"/>
          <w:szCs w:val="28"/>
        </w:rPr>
        <w:t>Một số căn cứ pháp lý xây dựng Quyết định đã được thay thế bởi văn bản pháp lý mới như:</w:t>
      </w:r>
      <w:r>
        <w:rPr>
          <w:sz w:val="28"/>
          <w:szCs w:val="28"/>
          <w:lang w:val="vi-VN"/>
        </w:rPr>
        <w:t xml:space="preserve"> </w:t>
      </w:r>
      <w:r>
        <w:rPr>
          <w:sz w:val="28"/>
          <w:szCs w:val="28"/>
        </w:rPr>
        <w:t>Luật Tổ chức chính quyền địa phương số 72/2025/QH15;</w:t>
      </w:r>
      <w:r>
        <w:rPr>
          <w:sz w:val="28"/>
          <w:szCs w:val="28"/>
          <w:lang w:val="vi-VN"/>
        </w:rPr>
        <w:t xml:space="preserve"> Nghị định số 286/2026/NĐ-CP</w:t>
      </w:r>
      <w:r>
        <w:rPr>
          <w:sz w:val="28"/>
          <w:szCs w:val="28"/>
        </w:rPr>
        <w:t>,</w:t>
      </w:r>
      <w:r>
        <w:rPr>
          <w:sz w:val="28"/>
          <w:szCs w:val="28"/>
          <w:lang w:val="vi-VN"/>
        </w:rPr>
        <w:t xml:space="preserve"> ngày </w:t>
      </w:r>
      <w:r>
        <w:rPr>
          <w:sz w:val="28"/>
          <w:szCs w:val="28"/>
        </w:rPr>
        <w:t>17/7/2026</w:t>
      </w:r>
      <w:r>
        <w:rPr>
          <w:sz w:val="28"/>
          <w:szCs w:val="28"/>
          <w:lang w:val="vi-VN"/>
        </w:rPr>
        <w:t xml:space="preserve"> của Chính phủ</w:t>
      </w:r>
      <w:r>
        <w:rPr>
          <w:sz w:val="28"/>
          <w:szCs w:val="28"/>
        </w:rPr>
        <w:t>.</w:t>
      </w:r>
    </w:p>
    <w:p w14:paraId="617CB541" w14:textId="77777777" w:rsidR="00CC4015" w:rsidRDefault="00000000">
      <w:pPr>
        <w:spacing w:before="120" w:after="120" w:line="252" w:lineRule="auto"/>
        <w:ind w:firstLine="567"/>
        <w:jc w:val="both"/>
        <w:rPr>
          <w:sz w:val="28"/>
          <w:szCs w:val="28"/>
        </w:rPr>
      </w:pPr>
      <w:r>
        <w:rPr>
          <w:sz w:val="28"/>
          <w:szCs w:val="28"/>
        </w:rPr>
        <w:t xml:space="preserve">- Quyết định số 32/2019/QĐ-UBND, ngày 30/12/2019 của UBND tỉnh Đắk Lắk (cũ) quy định Quy chế phối hợp trong công tác quản lý cư trú và hoạt động của người nước ngoài tại tỉnh Đắk Lắk được ban hành từ giai đoạn trước khi sáp nhập địa giới hành chính, đến nay chưa được rà soát, cập nhật đầy đủ nội dung sau khi sắp xếp, tinh gọn bộ máy, hợp nhất một số sở, ngành, tổ chức chính quyền địa phương 02 cấp, sáp nhập tỉnh Phú Yên và tỉnh Đắk Lắk như: nhiệm vụ của Sở Ngoại vụ đã chuyển về Văn phòng UBND tỉnh (theo Quyết định số 01728/QĐ-UBND, ngày 21/10/2025 của UBND tỉnh Đắk Lắk), Bộ Chỉ huy Bộ đội Biên phòng tỉnh sáp nhập về Bộ Chỉ huy Quân sự tỉnh, hợp nhất Sở Kế hoạch và Đầu tư và Sở Tài chính (theo Nghị quyết số 05/NQ-HĐND, ngày 19/02/2025 của HĐND tỉnh Đắk Lắk), hợp nhất Sở Lao động - Thương binh và Xã hội và Sở Nội vụ (theo Nghị quyết số 04/NQ-HĐND, ngày 19/02/2025 của HĐND tỉnh Đắk Lắk),... Do đó, Quy chế 32 không còn phù hợp với quy định pháp luật hiện hành. </w:t>
      </w:r>
    </w:p>
    <w:p w14:paraId="084265DE" w14:textId="77777777" w:rsidR="00CC4015" w:rsidRDefault="00000000">
      <w:pPr>
        <w:spacing w:before="120" w:after="120" w:line="252" w:lineRule="auto"/>
        <w:ind w:firstLine="567"/>
        <w:jc w:val="both"/>
        <w:rPr>
          <w:sz w:val="28"/>
          <w:szCs w:val="28"/>
        </w:rPr>
      </w:pPr>
      <w:r>
        <w:rPr>
          <w:sz w:val="28"/>
          <w:szCs w:val="28"/>
        </w:rPr>
        <w:t>- Việc phối hợp thực hiện kiểm soát, xử lý vi phạm pháp luật về xuất nhập cảnh của người nước ngoài giữa Công an tỉnh, Bộ Chỉ huy Quân sự tỉnh, Ban Chỉ huy Bộ đội biên phong cần phải được sửa đổi, bổ sung để phù hợp, đồng bộ, thống nhất với các quy định tại Nghị định số 03/2019/NĐ-CP, ngày 05/9/2019 về phối hợp giữa Bộ Công an và Bộ Quốc phòng trong thực hiện nhiệm vụ bảo vệ an ninh quốc gia, bảo đảm trật tự an toàn xã hội, đấu tranh phòng, chống tội phạm và nhiệm vụ quốc phòng; đảm bảo cho việc trao đổi thông tin tình hình, số liệu được thường xuyên, định kỳ, xác định rõ vụ việc để tổ chức phối hợp; chủ động phòng ngừa, ngăn chặn kịp thời phát hiện, đấu tranh xử lý các vi phạm pháp luật của người nước ngoài.</w:t>
      </w:r>
    </w:p>
    <w:p w14:paraId="764AB4A9" w14:textId="77777777" w:rsidR="00CC4015" w:rsidRDefault="00000000">
      <w:pPr>
        <w:spacing w:before="120" w:after="120" w:line="252" w:lineRule="auto"/>
        <w:ind w:firstLine="567"/>
        <w:jc w:val="both"/>
        <w:rPr>
          <w:sz w:val="28"/>
          <w:szCs w:val="28"/>
        </w:rPr>
      </w:pPr>
      <w:r>
        <w:rPr>
          <w:sz w:val="28"/>
          <w:szCs w:val="28"/>
        </w:rPr>
        <w:t>- Việc ban hành Quyết định bãi bỏ Quyết định số 32/2019/QĐ-UBND, ngày 30/12/2019 của UBND tỉnh nhằm đảm bảo sự phối hợp chặt chẽ giữa các Sơ, ban, ngành, UBND cấp xã trong công tác quản lý nhập cảnh, xuất cảnh, quá cảnh, cư trú của người nước ngoài trên địa bàn tỉnh Đắk Lắk khi số lượng người nước ngoài nhập cảnh, cư trú ngày càng tăng; đảm bảo các quy định pháp luật trong công tác quản lý nhập cảnh, xuất cảnh, quá cảnh, cư trú của người nước ngoài tại tỉnh được triển khai thực hiện thống nhất, đồng bộ đáp ứng những yêu cầu, mục tiêu quản lý khi thực hiện chuyển đổi số, phục vụ đảm bảo an ninh trật tự, cũng như, phát triển kinh tế - xã hội là rất cần thiết.</w:t>
      </w:r>
    </w:p>
    <w:p w14:paraId="2B01AE62" w14:textId="77777777" w:rsidR="00CC4015" w:rsidRDefault="00000000">
      <w:pPr>
        <w:widowControl w:val="0"/>
        <w:spacing w:before="120" w:after="120" w:line="320" w:lineRule="exact"/>
        <w:ind w:firstLine="567"/>
        <w:jc w:val="both"/>
        <w:rPr>
          <w:b/>
          <w:sz w:val="28"/>
          <w:szCs w:val="28"/>
        </w:rPr>
      </w:pPr>
      <w:r>
        <w:rPr>
          <w:b/>
          <w:sz w:val="28"/>
          <w:szCs w:val="28"/>
        </w:rPr>
        <w:t>2. Tồn tại, hạn chế và nguyên nhân</w:t>
      </w:r>
    </w:p>
    <w:p w14:paraId="7A8BAA28" w14:textId="77777777" w:rsidR="00CC4015" w:rsidRDefault="00000000">
      <w:pPr>
        <w:widowControl w:val="0"/>
        <w:spacing w:before="120" w:after="120" w:line="320" w:lineRule="exact"/>
        <w:ind w:firstLine="567"/>
        <w:jc w:val="both"/>
        <w:rPr>
          <w:b/>
          <w:i/>
          <w:iCs/>
          <w:sz w:val="28"/>
          <w:szCs w:val="28"/>
        </w:rPr>
      </w:pPr>
      <w:r>
        <w:rPr>
          <w:b/>
          <w:i/>
          <w:iCs/>
          <w:sz w:val="28"/>
          <w:szCs w:val="28"/>
        </w:rPr>
        <w:lastRenderedPageBreak/>
        <w:t>a) Tồn tại, hạn chế</w:t>
      </w:r>
    </w:p>
    <w:p w14:paraId="5B0BC873" w14:textId="77777777" w:rsidR="00CC4015" w:rsidRDefault="00000000">
      <w:pPr>
        <w:widowControl w:val="0"/>
        <w:spacing w:before="120" w:after="120" w:line="320" w:lineRule="exact"/>
        <w:ind w:firstLine="567"/>
        <w:jc w:val="both"/>
        <w:rPr>
          <w:sz w:val="28"/>
          <w:szCs w:val="28"/>
        </w:rPr>
      </w:pPr>
      <w:r>
        <w:rPr>
          <w:sz w:val="28"/>
          <w:szCs w:val="28"/>
        </w:rPr>
        <w:t>Việc triển khai thực hiện Quy chế phối hợp trong công tác quản lý cư trú và hoạt động của người nước ngoài tại tỉnh Đắk Lắk (ban hành theo Quyết định số 32/2019/QĐ-UBND) theo quy định tại khoản 4, Điều 6 của Nghị định đã được UBND tỉnh quán triệt, triển khai thực hiện nghiêm túc, tuy nhiên vẫn có một số tồn tại, hạn chế như:</w:t>
      </w:r>
    </w:p>
    <w:p w14:paraId="6E15D0CC" w14:textId="77777777" w:rsidR="00CC4015" w:rsidRDefault="00000000">
      <w:pPr>
        <w:widowControl w:val="0"/>
        <w:spacing w:before="120" w:after="120" w:line="320" w:lineRule="exact"/>
        <w:ind w:firstLine="567"/>
        <w:jc w:val="both"/>
        <w:rPr>
          <w:sz w:val="28"/>
          <w:szCs w:val="28"/>
        </w:rPr>
      </w:pPr>
      <w:r>
        <w:rPr>
          <w:sz w:val="28"/>
          <w:szCs w:val="28"/>
        </w:rPr>
        <w:t>- Việc ứng dụng công nghệ thông tin trong công tác phối hợp quản lý, trao đổi thông tin giữa các cơ quan, đơn vị còn hạn chế (chủ yếu là văn bản trao đổi); công tác phối hợp trao đổi thông tin về người nước ngoài cấp, cấp lại, điều chỉnh, thu hồi các loại giấy phép, giấy đăng ký, chứng chỉ hành nghề, giấy chứng nhận... giữa các sở, ban, ngành và Công an tỉnh ở một số thời điểm chưa kịp thời gây ảnh hưởng nhất định đến hiệu quả công tác thống kê, tập hợp và phối hợp quản lý người nước ngoài cư trú, hoạt động tại địa phương.</w:t>
      </w:r>
    </w:p>
    <w:p w14:paraId="55F806F6" w14:textId="77777777" w:rsidR="00CC4015" w:rsidRDefault="00000000">
      <w:pPr>
        <w:widowControl w:val="0"/>
        <w:spacing w:before="120" w:after="120" w:line="320" w:lineRule="exact"/>
        <w:ind w:firstLine="567"/>
        <w:jc w:val="both"/>
        <w:rPr>
          <w:sz w:val="28"/>
          <w:szCs w:val="28"/>
        </w:rPr>
      </w:pPr>
      <w:r>
        <w:rPr>
          <w:sz w:val="28"/>
          <w:szCs w:val="28"/>
        </w:rPr>
        <w:t>- Một số doanh nghiệp, đơn vị, tổ chức sử dụng lao động là người nước ngoài vẫn còn nhiều hạn chế khi lập thủ tục hồ sơ đề nghị cấp, cấp lại và gia hạn giấy phép lao động do thay đổi nhân sự phụ trách; thực hiện báo cáo định kỳ chưa đầy đủ và kịp thời.</w:t>
      </w:r>
    </w:p>
    <w:p w14:paraId="272FF817" w14:textId="77777777" w:rsidR="00CC4015" w:rsidRDefault="00000000">
      <w:pPr>
        <w:widowControl w:val="0"/>
        <w:spacing w:before="120" w:after="120" w:line="320" w:lineRule="exact"/>
        <w:ind w:firstLine="567"/>
        <w:jc w:val="both"/>
        <w:rPr>
          <w:sz w:val="28"/>
          <w:szCs w:val="28"/>
        </w:rPr>
      </w:pPr>
      <w:r>
        <w:rPr>
          <w:sz w:val="28"/>
          <w:szCs w:val="28"/>
        </w:rPr>
        <w:t>- Các doanh nghiệp FDI có phối hợp trong công tác tuyên truyền, phổ biến chính sách pháp luật về lao động nhưng chưa thật sự thường xuyên, liên tục dẫn đến cách hiểu và thực hiện chưa được thống nhất.</w:t>
      </w:r>
    </w:p>
    <w:p w14:paraId="764D5355" w14:textId="77777777" w:rsidR="00CC4015" w:rsidRDefault="00000000">
      <w:pPr>
        <w:widowControl w:val="0"/>
        <w:spacing w:before="120" w:after="120" w:line="320" w:lineRule="exact"/>
        <w:ind w:firstLine="567"/>
        <w:jc w:val="both"/>
        <w:rPr>
          <w:b/>
          <w:i/>
          <w:iCs/>
          <w:sz w:val="28"/>
          <w:szCs w:val="28"/>
        </w:rPr>
      </w:pPr>
      <w:r>
        <w:rPr>
          <w:b/>
          <w:i/>
          <w:iCs/>
          <w:sz w:val="28"/>
          <w:szCs w:val="28"/>
        </w:rPr>
        <w:t xml:space="preserve">b) Nguyên nhân </w:t>
      </w:r>
    </w:p>
    <w:p w14:paraId="0F82E0F0" w14:textId="77777777" w:rsidR="00CC4015" w:rsidRDefault="00000000">
      <w:pPr>
        <w:spacing w:before="120" w:after="120" w:line="320" w:lineRule="exact"/>
        <w:ind w:firstLine="567"/>
        <w:jc w:val="both"/>
        <w:rPr>
          <w:sz w:val="28"/>
          <w:szCs w:val="28"/>
        </w:rPr>
      </w:pPr>
      <w:r>
        <w:rPr>
          <w:sz w:val="28"/>
          <w:szCs w:val="28"/>
        </w:rPr>
        <w:t>- Vẫn còn một số cơ quan, đơn vị chưa nhận thức đầy đủ trách nhiệm trong công tác phối hợp quản lý người nước ngoài cư trú, hoạt động tại địa phương dẫn đến công tác chỉ đạo, triển khai chưa được quan tâm đúng mức.</w:t>
      </w:r>
    </w:p>
    <w:p w14:paraId="2AFC10CF" w14:textId="77777777" w:rsidR="00CC4015" w:rsidRDefault="00000000">
      <w:pPr>
        <w:widowControl w:val="0"/>
        <w:spacing w:before="120" w:after="120" w:line="320" w:lineRule="exact"/>
        <w:ind w:firstLine="567"/>
        <w:jc w:val="both"/>
        <w:rPr>
          <w:sz w:val="28"/>
          <w:szCs w:val="28"/>
        </w:rPr>
      </w:pPr>
      <w:r>
        <w:rPr>
          <w:sz w:val="28"/>
          <w:szCs w:val="28"/>
        </w:rPr>
        <w:t xml:space="preserve">- Công tác tuyên truyền, phổ biến các quy định của pháp luật về cư trú, hoạt động của NNN đôi lúc chưa được thường xuyên, liên tục. Một số địa phương, cơ quan, ban, ngành thiếu chủ động, còn tâm lý ỷ lại vào lực lượng Công an trong xây dựng, ban hành văn bản về phối hợp quản lý NNN nhập cảnh, xuất cảnh, cư trú, hoạt động, dẫn đến hiệu quả chưa cao. </w:t>
      </w:r>
    </w:p>
    <w:p w14:paraId="231DA2D4" w14:textId="77777777" w:rsidR="00CC4015" w:rsidRDefault="00000000">
      <w:pPr>
        <w:spacing w:before="60" w:after="60"/>
        <w:ind w:firstLine="567"/>
        <w:jc w:val="both"/>
        <w:rPr>
          <w:b/>
          <w:bCs/>
          <w:sz w:val="28"/>
          <w:szCs w:val="28"/>
        </w:rPr>
      </w:pPr>
      <w:r>
        <w:rPr>
          <w:b/>
          <w:bCs/>
          <w:sz w:val="28"/>
          <w:szCs w:val="28"/>
        </w:rPr>
        <w:t xml:space="preserve">3. Thẩm quyền ban hành các quy định của pháp luật để điều chỉnh quan hệ xã hội </w:t>
      </w:r>
    </w:p>
    <w:p w14:paraId="42FC5963" w14:textId="77777777" w:rsidR="00CC4015" w:rsidRDefault="00000000">
      <w:pPr>
        <w:spacing w:before="60" w:after="60"/>
        <w:ind w:firstLine="567"/>
        <w:jc w:val="both"/>
        <w:rPr>
          <w:sz w:val="28"/>
          <w:szCs w:val="28"/>
        </w:rPr>
      </w:pPr>
      <w:r>
        <w:rPr>
          <w:sz w:val="28"/>
          <w:szCs w:val="28"/>
        </w:rPr>
        <w:t xml:space="preserve">Theo điểm a, c khoản 2 Điều 21 Luật Ban hành văn bản quy phạm pháp luật số 64/2025/QH15 (được sửa đổi, bổ sung bởi Luật số 87/2025/QH15) và điểm a khoản 5 Điều 6 Nghị định số 286/2026/NĐ-CP, ngày 17/7/2026 của Chính phủ, thẩm quyền ban hành Quyết định ban hành Quy chế phối hợp giữa các sở, ban, ngành và Ủy ban nhân dân cấp xã trong công tác quản lý người nước ngoài cư trú, hoạt động trên địa bàn tỉnh Đắk Lắk thuộc Ủy ban nhân dân tỉnh. </w:t>
      </w:r>
    </w:p>
    <w:p w14:paraId="65FDF18C" w14:textId="77777777" w:rsidR="00CC4015" w:rsidRDefault="00000000">
      <w:pPr>
        <w:spacing w:before="120" w:after="120" w:line="320" w:lineRule="exact"/>
        <w:ind w:firstLine="567"/>
        <w:jc w:val="both"/>
        <w:rPr>
          <w:b/>
          <w:bCs/>
          <w:sz w:val="28"/>
          <w:szCs w:val="28"/>
        </w:rPr>
      </w:pPr>
      <w:r>
        <w:rPr>
          <w:b/>
          <w:bCs/>
          <w:sz w:val="28"/>
          <w:szCs w:val="28"/>
        </w:rPr>
        <w:t>III. KIẾN NGHỊ, ĐỀ XUẤT</w:t>
      </w:r>
    </w:p>
    <w:p w14:paraId="5A2865BE" w14:textId="77777777" w:rsidR="00CC4015" w:rsidRDefault="00000000">
      <w:pPr>
        <w:spacing w:before="120" w:after="120" w:line="320" w:lineRule="exact"/>
        <w:ind w:firstLine="567"/>
        <w:jc w:val="both"/>
        <w:rPr>
          <w:sz w:val="28"/>
          <w:szCs w:val="28"/>
        </w:rPr>
      </w:pPr>
      <w:r>
        <w:rPr>
          <w:sz w:val="28"/>
          <w:szCs w:val="28"/>
        </w:rPr>
        <w:t xml:space="preserve">Để bảo đảm tính hợp hiến, hợp pháp, tính đồng bộ, thống nhất của hệ thống pháp luật về an ninh, trật tự; tuân thủ đúng quy định của các văn bản quy phạm pháp luật có liên quan đến hoạt động quản lý nhập cảnh, xuất cảnh, quá cảnh, cư </w:t>
      </w:r>
      <w:r>
        <w:rPr>
          <w:sz w:val="28"/>
          <w:szCs w:val="28"/>
        </w:rPr>
        <w:lastRenderedPageBreak/>
        <w:t>trú của người nước ngoài và phù hợp với điều kiện thực tiễn của địa phương, Công an tỉnh đề xuất UBND tỉnh như sau:</w:t>
      </w:r>
    </w:p>
    <w:p w14:paraId="5AD41AB7" w14:textId="77777777" w:rsidR="00CC4015" w:rsidRDefault="00000000">
      <w:pPr>
        <w:spacing w:before="120" w:after="120" w:line="320" w:lineRule="exact"/>
        <w:ind w:firstLine="567"/>
        <w:jc w:val="both"/>
        <w:rPr>
          <w:sz w:val="28"/>
          <w:szCs w:val="28"/>
          <w:lang w:val="pt-BR"/>
        </w:rPr>
      </w:pPr>
      <w:r>
        <w:rPr>
          <w:b/>
          <w:bCs/>
          <w:sz w:val="28"/>
          <w:szCs w:val="28"/>
        </w:rPr>
        <w:t>1.</w:t>
      </w:r>
      <w:r>
        <w:rPr>
          <w:sz w:val="28"/>
          <w:szCs w:val="28"/>
        </w:rPr>
        <w:t xml:space="preserve"> Ban hành Quyết định ban hành Quy chế phối hợp giữa các sở, ban, ngành và Ủy ban nhân dân cấp xã trong công tác quản lý người nước ngoài cư trú, hoạt động trên địa bàn tỉnh Đắk Lắk</w:t>
      </w:r>
      <w:r>
        <w:rPr>
          <w:sz w:val="28"/>
          <w:szCs w:val="28"/>
          <w:lang w:val="pt-BR"/>
        </w:rPr>
        <w:t>.</w:t>
      </w:r>
    </w:p>
    <w:p w14:paraId="1611BF84" w14:textId="77777777" w:rsidR="00CC4015" w:rsidRDefault="00000000">
      <w:pPr>
        <w:spacing w:before="120" w:after="120" w:line="320" w:lineRule="exact"/>
        <w:ind w:firstLine="567"/>
        <w:jc w:val="both"/>
        <w:rPr>
          <w:spacing w:val="-4"/>
          <w:sz w:val="28"/>
          <w:szCs w:val="28"/>
          <w:lang w:val="pt-BR"/>
        </w:rPr>
      </w:pPr>
      <w:r>
        <w:rPr>
          <w:b/>
          <w:bCs/>
          <w:spacing w:val="-2"/>
          <w:sz w:val="28"/>
          <w:szCs w:val="28"/>
          <w:lang w:val="pt-BR"/>
        </w:rPr>
        <w:t>2.</w:t>
      </w:r>
      <w:r>
        <w:rPr>
          <w:spacing w:val="-2"/>
          <w:sz w:val="28"/>
          <w:szCs w:val="28"/>
          <w:lang w:val="pt-BR"/>
        </w:rPr>
        <w:t xml:space="preserve"> Việc xây dựng </w:t>
      </w:r>
      <w:r>
        <w:rPr>
          <w:spacing w:val="-2"/>
          <w:sz w:val="28"/>
          <w:szCs w:val="28"/>
        </w:rPr>
        <w:t>Quyết định ban hành Quy chế phối hợp giữa các sở, ban, ngành và Ủy ban nhân dân cấp xã trong công tác quản lý người nước ngoài cư trú, hoạt động trên địa bàn tỉnh Đắk Lắk</w:t>
      </w:r>
      <w:r>
        <w:rPr>
          <w:spacing w:val="-2"/>
          <w:sz w:val="28"/>
          <w:szCs w:val="28"/>
          <w:lang w:val="pt-BR"/>
        </w:rPr>
        <w:t xml:space="preserve"> phải bảo đảm phù hợp, tuân thủ trình tự, thủ </w:t>
      </w:r>
      <w:r>
        <w:rPr>
          <w:spacing w:val="-4"/>
          <w:sz w:val="28"/>
          <w:szCs w:val="28"/>
          <w:lang w:val="pt-BR"/>
        </w:rPr>
        <w:t>tục, thể thức, kỹ thuật trình bày văn bản quy định tại Luật số 64/2025/QH15, Luật số 87/2025/QH15, Nghị định số 78/2025/NĐ-CP và Nghị định số 187/2025/NĐ-CP.</w:t>
      </w:r>
    </w:p>
    <w:p w14:paraId="41ECE70C" w14:textId="77777777" w:rsidR="00CC4015" w:rsidRDefault="00000000">
      <w:pPr>
        <w:spacing w:before="120" w:after="120" w:line="320" w:lineRule="exact"/>
        <w:ind w:firstLine="567"/>
        <w:jc w:val="both"/>
        <w:rPr>
          <w:spacing w:val="2"/>
          <w:sz w:val="28"/>
          <w:szCs w:val="28"/>
          <w:lang w:val="pt-BR"/>
        </w:rPr>
      </w:pPr>
      <w:r>
        <w:rPr>
          <w:spacing w:val="2"/>
          <w:sz w:val="28"/>
          <w:szCs w:val="28"/>
          <w:lang w:val="pt-BR"/>
        </w:rPr>
        <w:t>Trên đây là kết quả đánh giá thực trạng quan hệ xã hội có liên quan đến dự thảo Quyết định ban hành Quy chế phối hợp giữa các sở, ban, ngành và Ủy ban nhân dân cấp xã trong công tác quản lý người nước ngoài cư trú, hoạt động trên địa bàn tỉnh Đắk Lắk, Công an tỉnh báo cáo UBND tỉnh để theo dõi, chỉ đạo./.</w:t>
      </w:r>
    </w:p>
    <w:tbl>
      <w:tblPr>
        <w:tblW w:w="9235" w:type="dxa"/>
        <w:jc w:val="center"/>
        <w:tblLayout w:type="fixed"/>
        <w:tblLook w:val="04A0" w:firstRow="1" w:lastRow="0" w:firstColumn="1" w:lastColumn="0" w:noHBand="0" w:noVBand="1"/>
      </w:tblPr>
      <w:tblGrid>
        <w:gridCol w:w="5103"/>
        <w:gridCol w:w="4132"/>
      </w:tblGrid>
      <w:tr w:rsidR="00CC4015" w14:paraId="1DEAA055" w14:textId="77777777">
        <w:trPr>
          <w:jc w:val="center"/>
        </w:trPr>
        <w:tc>
          <w:tcPr>
            <w:tcW w:w="5103" w:type="dxa"/>
          </w:tcPr>
          <w:p w14:paraId="386884C3" w14:textId="77777777" w:rsidR="00CC4015" w:rsidRDefault="00000000">
            <w:pPr>
              <w:jc w:val="both"/>
              <w:rPr>
                <w:b/>
                <w:i/>
                <w:lang w:val="pt-BR"/>
              </w:rPr>
            </w:pPr>
            <w:r>
              <w:rPr>
                <w:b/>
                <w:i/>
                <w:lang w:val="pt-BR"/>
              </w:rPr>
              <w:t>Nơi nhận:</w:t>
            </w:r>
            <w:r>
              <w:rPr>
                <w:b/>
                <w:i/>
                <w:lang w:val="pt-BR"/>
              </w:rPr>
              <w:tab/>
            </w:r>
          </w:p>
          <w:p w14:paraId="1CB9F8AB" w14:textId="77777777" w:rsidR="00CC4015" w:rsidRDefault="00000000">
            <w:pPr>
              <w:jc w:val="both"/>
              <w:rPr>
                <w:spacing w:val="-4"/>
                <w:sz w:val="22"/>
                <w:szCs w:val="22"/>
                <w:lang w:val="pt-BR"/>
              </w:rPr>
            </w:pPr>
            <w:r>
              <w:rPr>
                <w:spacing w:val="-4"/>
                <w:sz w:val="22"/>
                <w:szCs w:val="22"/>
                <w:lang w:val="pt-BR"/>
              </w:rPr>
              <w:t>- Như trên;</w:t>
            </w:r>
          </w:p>
          <w:p w14:paraId="25858B12" w14:textId="77777777" w:rsidR="00CC4015" w:rsidRDefault="00000000">
            <w:pPr>
              <w:jc w:val="both"/>
              <w:rPr>
                <w:spacing w:val="-4"/>
                <w:sz w:val="22"/>
                <w:szCs w:val="22"/>
                <w:lang w:val="pt-BR"/>
              </w:rPr>
            </w:pPr>
            <w:r>
              <w:rPr>
                <w:spacing w:val="-4"/>
                <w:sz w:val="22"/>
                <w:szCs w:val="22"/>
                <w:lang w:val="pt-BR"/>
              </w:rPr>
              <w:t>- Các sở, ngành;</w:t>
            </w:r>
          </w:p>
          <w:p w14:paraId="0F34E7F1" w14:textId="77777777" w:rsidR="00CC4015" w:rsidRDefault="00000000">
            <w:pPr>
              <w:jc w:val="both"/>
              <w:rPr>
                <w:spacing w:val="-4"/>
                <w:sz w:val="22"/>
                <w:szCs w:val="22"/>
                <w:lang w:val="pt-BR"/>
              </w:rPr>
            </w:pPr>
            <w:r>
              <w:rPr>
                <w:spacing w:val="-4"/>
                <w:sz w:val="22"/>
                <w:szCs w:val="22"/>
                <w:lang w:val="pt-BR"/>
              </w:rPr>
              <w:t>- UBND cấp xã;</w:t>
            </w:r>
          </w:p>
          <w:p w14:paraId="7BB2B714" w14:textId="77777777" w:rsidR="00CC4015" w:rsidRDefault="00000000">
            <w:pPr>
              <w:jc w:val="both"/>
              <w:rPr>
                <w:sz w:val="22"/>
                <w:szCs w:val="22"/>
                <w:lang w:val="pt-BR"/>
              </w:rPr>
            </w:pPr>
            <w:r>
              <w:rPr>
                <w:spacing w:val="-4"/>
                <w:sz w:val="22"/>
                <w:szCs w:val="22"/>
                <w:lang w:val="pt-BR"/>
              </w:rPr>
              <w:t>- Lưu: VT, XNC (Đ</w:t>
            </w:r>
            <w:r>
              <w:rPr>
                <w:spacing w:val="-4"/>
                <w:sz w:val="22"/>
                <w:szCs w:val="22"/>
              </w:rPr>
              <w:t>2</w:t>
            </w:r>
            <w:r>
              <w:rPr>
                <w:sz w:val="22"/>
                <w:szCs w:val="22"/>
                <w:lang w:val="pt-BR"/>
              </w:rPr>
              <w:t>).</w:t>
            </w:r>
          </w:p>
          <w:p w14:paraId="122672C1" w14:textId="77777777" w:rsidR="00CC4015" w:rsidRDefault="00CC4015">
            <w:pPr>
              <w:jc w:val="both"/>
              <w:rPr>
                <w:sz w:val="28"/>
                <w:szCs w:val="28"/>
                <w:lang w:val="pt-BR"/>
              </w:rPr>
            </w:pPr>
          </w:p>
        </w:tc>
        <w:tc>
          <w:tcPr>
            <w:tcW w:w="4132" w:type="dxa"/>
          </w:tcPr>
          <w:p w14:paraId="680D0C96" w14:textId="77777777" w:rsidR="00CC4015" w:rsidRDefault="00000000">
            <w:pPr>
              <w:jc w:val="center"/>
              <w:rPr>
                <w:b/>
                <w:sz w:val="28"/>
                <w:szCs w:val="28"/>
                <w:lang w:val="pt-BR"/>
              </w:rPr>
            </w:pPr>
            <w:r>
              <w:rPr>
                <w:b/>
                <w:sz w:val="28"/>
                <w:szCs w:val="28"/>
              </w:rPr>
              <w:t>KT.</w:t>
            </w:r>
            <w:r>
              <w:rPr>
                <w:b/>
                <w:sz w:val="28"/>
                <w:szCs w:val="28"/>
                <w:lang w:val="pt-BR"/>
              </w:rPr>
              <w:t>GIÁM ĐỐC</w:t>
            </w:r>
          </w:p>
          <w:p w14:paraId="57A8B25A" w14:textId="77777777" w:rsidR="00CC4015" w:rsidRDefault="00000000">
            <w:pPr>
              <w:jc w:val="center"/>
              <w:rPr>
                <w:b/>
                <w:sz w:val="28"/>
                <w:szCs w:val="28"/>
              </w:rPr>
            </w:pPr>
            <w:r>
              <w:rPr>
                <w:b/>
                <w:sz w:val="28"/>
                <w:szCs w:val="28"/>
              </w:rPr>
              <w:t>PHÓ GIÁM ĐỐC</w:t>
            </w:r>
          </w:p>
          <w:p w14:paraId="7DCF1B0E" w14:textId="77777777" w:rsidR="00CC4015" w:rsidRDefault="00CC4015">
            <w:pPr>
              <w:jc w:val="center"/>
              <w:rPr>
                <w:b/>
                <w:sz w:val="28"/>
                <w:szCs w:val="28"/>
                <w:lang w:val="pt-BR"/>
              </w:rPr>
            </w:pPr>
          </w:p>
          <w:p w14:paraId="0D4DEBAA" w14:textId="77777777" w:rsidR="00CC4015" w:rsidRDefault="00CC4015">
            <w:pPr>
              <w:jc w:val="center"/>
              <w:rPr>
                <w:b/>
                <w:sz w:val="28"/>
                <w:szCs w:val="28"/>
                <w:lang w:val="pt-BR"/>
              </w:rPr>
            </w:pPr>
          </w:p>
          <w:p w14:paraId="01568ABD" w14:textId="77777777" w:rsidR="00CC4015" w:rsidRDefault="00CC4015">
            <w:pPr>
              <w:jc w:val="center"/>
              <w:rPr>
                <w:b/>
                <w:sz w:val="28"/>
                <w:szCs w:val="28"/>
                <w:lang w:val="pt-BR"/>
              </w:rPr>
            </w:pPr>
          </w:p>
          <w:p w14:paraId="70152E0D" w14:textId="77777777" w:rsidR="00CC4015" w:rsidRDefault="00CC4015">
            <w:pPr>
              <w:jc w:val="center"/>
              <w:rPr>
                <w:b/>
                <w:sz w:val="28"/>
                <w:szCs w:val="28"/>
                <w:lang w:val="pt-BR"/>
              </w:rPr>
            </w:pPr>
          </w:p>
          <w:p w14:paraId="7794AE2B" w14:textId="77777777" w:rsidR="00CC4015" w:rsidRDefault="00000000">
            <w:pPr>
              <w:jc w:val="center"/>
              <w:rPr>
                <w:b/>
                <w:sz w:val="28"/>
                <w:szCs w:val="28"/>
              </w:rPr>
            </w:pPr>
            <w:r>
              <w:rPr>
                <w:b/>
                <w:sz w:val="28"/>
                <w:szCs w:val="28"/>
              </w:rPr>
              <w:t xml:space="preserve">  Đại tá Lê Hữu Tuấn</w:t>
            </w:r>
          </w:p>
        </w:tc>
      </w:tr>
    </w:tbl>
    <w:p w14:paraId="4D15A855" w14:textId="77777777" w:rsidR="00CC4015" w:rsidRDefault="00CC4015">
      <w:pPr>
        <w:spacing w:before="60" w:after="60"/>
        <w:ind w:firstLine="567"/>
      </w:pPr>
    </w:p>
    <w:p w14:paraId="52E79B58" w14:textId="77777777" w:rsidR="00CC4015" w:rsidRDefault="00CC4015">
      <w:pPr>
        <w:spacing w:before="60" w:after="60"/>
        <w:ind w:firstLine="567"/>
      </w:pPr>
    </w:p>
    <w:p w14:paraId="1A3F7056" w14:textId="77777777" w:rsidR="00CC4015" w:rsidRDefault="00CC4015">
      <w:pPr>
        <w:spacing w:before="60" w:after="60"/>
        <w:ind w:firstLine="567"/>
      </w:pPr>
    </w:p>
    <w:p w14:paraId="0EC56644" w14:textId="77777777" w:rsidR="00CC4015" w:rsidRDefault="00CC4015">
      <w:pPr>
        <w:spacing w:before="60" w:after="60"/>
        <w:ind w:firstLine="567"/>
      </w:pPr>
    </w:p>
    <w:p w14:paraId="45F0FC12" w14:textId="77777777" w:rsidR="00CC4015" w:rsidRDefault="00CC4015">
      <w:pPr>
        <w:spacing w:before="60" w:after="60"/>
        <w:ind w:firstLine="567"/>
      </w:pPr>
    </w:p>
    <w:p w14:paraId="49030F50" w14:textId="77777777" w:rsidR="00CC4015" w:rsidRDefault="00CC4015">
      <w:pPr>
        <w:spacing w:before="60" w:after="60"/>
        <w:ind w:firstLine="567"/>
      </w:pPr>
    </w:p>
    <w:p w14:paraId="156F4290" w14:textId="77777777" w:rsidR="00CC4015" w:rsidRDefault="00CC4015">
      <w:pPr>
        <w:spacing w:before="60" w:after="60"/>
        <w:jc w:val="both"/>
        <w:rPr>
          <w:sz w:val="28"/>
          <w:szCs w:val="28"/>
        </w:rPr>
      </w:pPr>
    </w:p>
    <w:sectPr w:rsidR="00CC4015">
      <w:headerReference w:type="even" r:id="rId8"/>
      <w:headerReference w:type="default" r:id="rId9"/>
      <w:headerReference w:type="first" r:id="rId10"/>
      <w:pgSz w:w="11906" w:h="16838"/>
      <w:pgMar w:top="1138" w:right="1138" w:bottom="1138" w:left="1701" w:header="709"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80031" w14:textId="77777777" w:rsidR="009935B8" w:rsidRDefault="009935B8">
      <w:r>
        <w:separator/>
      </w:r>
    </w:p>
  </w:endnote>
  <w:endnote w:type="continuationSeparator" w:id="0">
    <w:p w14:paraId="35FEDD30" w14:textId="77777777" w:rsidR="009935B8" w:rsidRDefault="0099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pleSystemUIFont">
    <w:altName w:val="Cambria"/>
    <w:charset w:val="00"/>
    <w:family w:val="roman"/>
    <w:pitch w:val="variable"/>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2C8F9" w14:textId="77777777" w:rsidR="009935B8" w:rsidRDefault="009935B8">
      <w:r>
        <w:separator/>
      </w:r>
    </w:p>
  </w:footnote>
  <w:footnote w:type="continuationSeparator" w:id="0">
    <w:p w14:paraId="2451D113" w14:textId="77777777" w:rsidR="009935B8" w:rsidRDefault="00993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BB34" w14:textId="77777777" w:rsidR="00CC4015" w:rsidRDefault="00CC40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835907"/>
    </w:sdtPr>
    <w:sdtContent>
      <w:p w14:paraId="12D2A366" w14:textId="77777777" w:rsidR="00CC4015" w:rsidRDefault="00000000">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5</w:t>
        </w:r>
        <w:r>
          <w:rPr>
            <w:sz w:val="28"/>
            <w:szCs w:val="2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ED71C" w14:textId="77777777" w:rsidR="00CC4015" w:rsidRDefault="00CC40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autoHyphenation/>
  <w:hyphenationZone w:val="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015"/>
    <w:rsid w:val="008301D8"/>
    <w:rsid w:val="009935B8"/>
    <w:rsid w:val="00A818E8"/>
    <w:rsid w:val="00CC4015"/>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08AFB"/>
  <w15:docId w15:val="{80C6411F-4D57-4AEF-852A-020290878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link w:val="FootnoteChar1Char"/>
    <w:uiPriority w:val="99"/>
    <w:unhideWhenUsed/>
    <w:qFormat/>
    <w:rPr>
      <w:vertAlign w:val="superscript"/>
    </w:rPr>
  </w:style>
  <w:style w:type="character" w:styleId="FootnoteReference">
    <w:name w:val="footnote reference"/>
    <w:rPr>
      <w:vertAlign w:val="superscript"/>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character" w:customStyle="1" w:styleId="s1">
    <w:name w:val="s1"/>
    <w:qFormat/>
    <w:rPr>
      <w:rFonts w:ascii="UICTFontTextStyleBody" w:hAnsi="UICTFontTextStyleBody"/>
      <w:sz w:val="26"/>
      <w:szCs w:val="26"/>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Footer">
    <w:name w:val="footer"/>
    <w:basedOn w:val="Normal"/>
    <w:link w:val="FooterChar"/>
    <w:uiPriority w:val="99"/>
    <w:unhideWhenUsed/>
    <w:qFormat/>
    <w:pPr>
      <w:tabs>
        <w:tab w:val="center" w:pos="4680"/>
        <w:tab w:val="right" w:pos="9360"/>
      </w:tabs>
    </w:pPr>
  </w:style>
  <w:style w:type="paragraph" w:customStyle="1" w:styleId="FootnoteChar1Char">
    <w:name w:val="Footnote Char1 Char"/>
    <w:basedOn w:val="Normal"/>
    <w:next w:val="Normal"/>
    <w:link w:val="FootnoteCharacters"/>
    <w:uiPriority w:val="99"/>
    <w:qFormat/>
    <w:pPr>
      <w:spacing w:after="160" w:line="240" w:lineRule="exact"/>
    </w:pPr>
    <w:rPr>
      <w:rFonts w:asciiTheme="minorHAnsi" w:eastAsiaTheme="minorHAnsi" w:hAnsiTheme="minorHAnsi" w:cstheme="minorBidi"/>
      <w:sz w:val="22"/>
      <w:szCs w:val="22"/>
      <w:vertAlign w:val="superscript"/>
    </w:rPr>
  </w:style>
  <w:style w:type="paragraph" w:styleId="FootnoteText">
    <w:name w:val="footnote text"/>
    <w:basedOn w:val="Normal"/>
    <w:link w:val="FootnoteTextChar"/>
    <w:uiPriority w:val="99"/>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unhideWhenUsed/>
    <w:qFormat/>
    <w:pPr>
      <w:spacing w:beforeAutospacing="1" w:afterAutospacing="1"/>
    </w:pPr>
  </w:style>
  <w:style w:type="paragraph" w:customStyle="1" w:styleId="p1">
    <w:name w:val="p1"/>
    <w:basedOn w:val="Normal"/>
    <w:qFormat/>
    <w:rPr>
      <w:rFonts w:ascii=".AppleSystemUIFont" w:eastAsiaTheme="minorEastAsia" w:hAnsi=".AppleSystemUIFont"/>
      <w:sz w:val="26"/>
      <w:szCs w:val="26"/>
      <w:lang w:val="vi-VN" w:eastAsia="vi-VN"/>
    </w:rPr>
  </w:style>
  <w:style w:type="paragraph" w:styleId="ListParagraph">
    <w:name w:val="List Paragraph"/>
    <w:basedOn w:val="Normal"/>
    <w:uiPriority w:val="34"/>
    <w:qFormat/>
    <w:pPr>
      <w:ind w:left="720"/>
      <w:contextualSpacing/>
    </w:p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933D867E-3ED7-4E17-A351-56BC8ABBE1A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1818</Words>
  <Characters>10364</Characters>
  <Application>Microsoft Office Word</Application>
  <DocSecurity>0</DocSecurity>
  <Lines>86</Lines>
  <Paragraphs>24</Paragraphs>
  <ScaleCrop>false</ScaleCrop>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DL_PV01_D7_HDONG</dc:creator>
  <dc:description/>
  <cp:lastModifiedBy>BMT</cp:lastModifiedBy>
  <cp:revision>2</cp:revision>
  <cp:lastPrinted>2026-08-04T08:19:00Z</cp:lastPrinted>
  <dcterms:created xsi:type="dcterms:W3CDTF">2026-08-21T07:47:00Z</dcterms:created>
  <dcterms:modified xsi:type="dcterms:W3CDTF">2026-08-21T07:47:00Z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8A85EF337477482B9006184797B3D27C_12</vt:lpwstr>
  </property>
  <property fmtid="{D5CDD505-2E9C-101B-9397-08002B2CF9AE}" pid="3" name="KSOProductBuildVer">
    <vt:lpwstr>1033-12.1.0.25242</vt:lpwstr>
  </property>
  <property fmtid="{D5CDD505-2E9C-101B-9397-08002B2CF9AE}" pid="4" name="KSOTemplateDocerSaveRecord">
    <vt:lpwstr>eyJoZGlkIjoiYmRkZTg0OTUyZGQ3NzAwMWY1NmZkOWMzZTAyYmI3YmIifQ==</vt:lpwstr>
  </property>
</Properties>
</file>