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47" w:type="pct"/>
        <w:tblInd w:w="-318" w:type="dxa"/>
        <w:tblLook w:val="04A0" w:firstRow="1" w:lastRow="0" w:firstColumn="1" w:lastColumn="0" w:noHBand="0" w:noVBand="1"/>
      </w:tblPr>
      <w:tblGrid>
        <w:gridCol w:w="3615"/>
        <w:gridCol w:w="6472"/>
      </w:tblGrid>
      <w:tr w:rsidR="000B4885" w:rsidRPr="003C15AE" w:rsidTr="00744D68">
        <w:trPr>
          <w:trHeight w:val="1193"/>
        </w:trPr>
        <w:tc>
          <w:tcPr>
            <w:tcW w:w="1792" w:type="pct"/>
            <w:hideMark/>
          </w:tcPr>
          <w:p w:rsidR="004B3A3B" w:rsidRPr="003C15AE" w:rsidRDefault="004B3A3B" w:rsidP="004B3A3B">
            <w:pPr>
              <w:spacing w:after="0" w:line="240" w:lineRule="auto"/>
              <w:jc w:val="center"/>
              <w:rPr>
                <w:b/>
                <w:noProof/>
                <w:szCs w:val="26"/>
              </w:rPr>
            </w:pPr>
            <w:r w:rsidRPr="003C15AE">
              <w:rPr>
                <w:b/>
                <w:noProof/>
                <w:szCs w:val="26"/>
              </w:rPr>
              <w:t>ỦY BAN NHÂN DÂN</w:t>
            </w:r>
          </w:p>
          <w:p w:rsidR="004B3A3B" w:rsidRPr="003C15AE" w:rsidRDefault="004B3A3B" w:rsidP="004B3A3B">
            <w:pPr>
              <w:spacing w:after="0" w:line="240" w:lineRule="auto"/>
              <w:jc w:val="center"/>
              <w:rPr>
                <w:b/>
                <w:szCs w:val="26"/>
              </w:rPr>
            </w:pPr>
            <w:r w:rsidRPr="003C15AE">
              <w:rPr>
                <w:b/>
                <w:szCs w:val="26"/>
              </w:rPr>
              <w:t>TỈNH ĐẮK LẮK</w:t>
            </w:r>
          </w:p>
          <w:p w:rsidR="004B3A3B" w:rsidRPr="003C15AE" w:rsidRDefault="00252B2A" w:rsidP="004B3A3B">
            <w:pPr>
              <w:spacing w:after="0" w:line="240" w:lineRule="auto"/>
              <w:jc w:val="center"/>
              <w:rPr>
                <w:sz w:val="28"/>
                <w:szCs w:val="28"/>
              </w:rPr>
            </w:pPr>
            <w:r w:rsidRPr="003C15AE">
              <w:rPr>
                <w:noProof/>
                <w:lang w:eastAsia="en-US"/>
              </w:rPr>
              <mc:AlternateContent>
                <mc:Choice Requires="wps">
                  <w:drawing>
                    <wp:anchor distT="0" distB="0" distL="114300" distR="114300" simplePos="0" relativeHeight="251657216" behindDoc="0" locked="0" layoutInCell="1" allowOverlap="1" wp14:anchorId="39FD6F72" wp14:editId="4AA92FAC">
                      <wp:simplePos x="0" y="0"/>
                      <wp:positionH relativeFrom="margin">
                        <wp:posOffset>861695</wp:posOffset>
                      </wp:positionH>
                      <wp:positionV relativeFrom="paragraph">
                        <wp:posOffset>13335</wp:posOffset>
                      </wp:positionV>
                      <wp:extent cx="431800" cy="0"/>
                      <wp:effectExtent l="6350" t="13970" r="9525" b="5080"/>
                      <wp:wrapNone/>
                      <wp:docPr id="19592231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11D123D7" id="Line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7.85pt,1.05pt" to="101.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Y4rgEAAEcDAAAOAAAAZHJzL2Uyb0RvYy54bWysUsGO0zAQvSPxD5bvNGlh0RI13UOX5bJA&#10;pV0+YGo7iYXjsWbcJv17bG9bVnBD+GDZnpnn997M+m4enTgaYou+lctFLYXxCrX1fSt/PD+8u5WC&#10;I3gNDr1p5cmwvNu8fbOeQmNWOKDThkQC8dxMoZVDjKGpKlaDGYEXGIxPwQ5phJiu1FeaYEroo6tW&#10;df2xmpB0IFSGOb3evwTlpuB3nVHxe9exicK1MnGLZaey7/NebdbQ9ARhsOpMA/6BxQjWp0+vUPcQ&#10;QRzI/gU1WkXI2MWFwrHCrrPKFA1JzbL+Q83TAMEULckcDleb+P/Bqm/Hrd9Rpq5m/xQeUf1k4XE7&#10;gO9NIfB8Cqlxy2xVNQVuriX5wmFHYj99RZ1y4BCxuDB3NGbIpE/MxezT1WwzR6HS44f3y9s6tURd&#10;QhU0l7pAHL8YHEU+tNJZn22ABo6PHDMPaC4p+dnjg3WutNJ5MbXy083qphQwOqtzMKcx9futI3GE&#10;PAxlFVEp8jqN8OB1ARsM6M/ncwTrXs7pc+fPXmT5eda42aM+7ejiUepWYXmerDwOr++l+vf8b34B&#10;AAD//wMAUEsDBBQABgAIAAAAIQDbN4DM2QAAAAcBAAAPAAAAZHJzL2Rvd25yZXYueG1sTI7BTsMw&#10;EETvSPyDtUhcqtZpIigKcSoE5MaFAuK6jZckIl6nsdsGvp6lFzg+zWjmFevJ9epAY+g8G1guElDE&#10;tbcdNwZeX6r5DagQkS32nsnAFwVYl+dnBebWH/mZDpvYKBnhkKOBNsYh1zrULTkMCz8QS/bhR4dR&#10;cGy0HfEo467XaZJca4cdy0OLA923VH9u9s5AqN5oV33P6lnynjWe0t3D0yMac3kx3d2CijTFvzL8&#10;6os6lOK09Xu2QfXC2dVKqgbSJSjJ0yQT3p5Yl4X+71/+AAAA//8DAFBLAQItABQABgAIAAAAIQC2&#10;gziS/gAAAOEBAAATAAAAAAAAAAAAAAAAAAAAAABbQ29udGVudF9UeXBlc10ueG1sUEsBAi0AFAAG&#10;AAgAAAAhADj9If/WAAAAlAEAAAsAAAAAAAAAAAAAAAAALwEAAF9yZWxzLy5yZWxzUEsBAi0AFAAG&#10;AAgAAAAhAFQk1jiuAQAARwMAAA4AAAAAAAAAAAAAAAAALgIAAGRycy9lMm9Eb2MueG1sUEsBAi0A&#10;FAAGAAgAAAAhANs3gMzZAAAABwEAAA8AAAAAAAAAAAAAAAAACAQAAGRycy9kb3ducmV2LnhtbFBL&#10;BQYAAAAABAAEAPMAAAAOBQAAAAA=&#10;">
                      <w10:wrap anchorx="margin"/>
                    </v:line>
                  </w:pict>
                </mc:Fallback>
              </mc:AlternateContent>
            </w:r>
          </w:p>
          <w:p w:rsidR="004B3A3B" w:rsidRPr="003C15AE" w:rsidRDefault="004B3A3B" w:rsidP="004B3A3B">
            <w:pPr>
              <w:spacing w:after="0" w:line="240" w:lineRule="auto"/>
              <w:jc w:val="center"/>
              <w:rPr>
                <w:b/>
                <w:sz w:val="28"/>
                <w:szCs w:val="28"/>
                <w:u w:val="single"/>
              </w:rPr>
            </w:pPr>
            <w:r w:rsidRPr="003C15AE">
              <w:rPr>
                <w:sz w:val="28"/>
                <w:szCs w:val="28"/>
              </w:rPr>
              <w:t>Số:         /2026/QĐ-UBND</w:t>
            </w:r>
          </w:p>
        </w:tc>
        <w:tc>
          <w:tcPr>
            <w:tcW w:w="3208" w:type="pct"/>
          </w:tcPr>
          <w:p w:rsidR="004B3A3B" w:rsidRPr="003C15AE" w:rsidRDefault="004B3A3B" w:rsidP="004B3A3B">
            <w:pPr>
              <w:spacing w:after="0" w:line="240" w:lineRule="auto"/>
              <w:jc w:val="center"/>
              <w:rPr>
                <w:b/>
                <w:szCs w:val="26"/>
              </w:rPr>
            </w:pPr>
            <w:r w:rsidRPr="003C15AE">
              <w:rPr>
                <w:b/>
                <w:szCs w:val="26"/>
              </w:rPr>
              <w:t>CỘNG HÒA XÃ HỘI CHỦ NGHĨA VIỆT NAM</w:t>
            </w:r>
          </w:p>
          <w:p w:rsidR="004B3A3B" w:rsidRPr="003C15AE" w:rsidRDefault="004B3A3B" w:rsidP="004B3A3B">
            <w:pPr>
              <w:spacing w:after="0" w:line="240" w:lineRule="auto"/>
              <w:jc w:val="center"/>
              <w:rPr>
                <w:sz w:val="28"/>
                <w:szCs w:val="28"/>
              </w:rPr>
            </w:pPr>
            <w:r w:rsidRPr="003C15AE">
              <w:rPr>
                <w:b/>
                <w:sz w:val="28"/>
                <w:szCs w:val="28"/>
              </w:rPr>
              <w:t>Độc lập - Tự do - Hạnh phúc</w:t>
            </w:r>
          </w:p>
          <w:p w:rsidR="004B3A3B" w:rsidRPr="003C15AE" w:rsidRDefault="00252B2A" w:rsidP="004B3A3B">
            <w:pPr>
              <w:spacing w:after="0" w:line="240" w:lineRule="auto"/>
              <w:jc w:val="center"/>
              <w:rPr>
                <w:i/>
                <w:sz w:val="28"/>
                <w:szCs w:val="28"/>
              </w:rPr>
            </w:pPr>
            <w:r w:rsidRPr="003C15AE">
              <w:rPr>
                <w:noProof/>
                <w:lang w:eastAsia="en-US"/>
              </w:rPr>
              <mc:AlternateContent>
                <mc:Choice Requires="wps">
                  <w:drawing>
                    <wp:anchor distT="0" distB="0" distL="114300" distR="114300" simplePos="0" relativeHeight="251658240" behindDoc="0" locked="0" layoutInCell="1" allowOverlap="1" wp14:anchorId="5796A95B" wp14:editId="49EBFA06">
                      <wp:simplePos x="0" y="0"/>
                      <wp:positionH relativeFrom="margin">
                        <wp:posOffset>962025</wp:posOffset>
                      </wp:positionH>
                      <wp:positionV relativeFrom="paragraph">
                        <wp:posOffset>20955</wp:posOffset>
                      </wp:positionV>
                      <wp:extent cx="2124075" cy="0"/>
                      <wp:effectExtent l="6985" t="7620" r="12065" b="11430"/>
                      <wp:wrapNone/>
                      <wp:docPr id="13087175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0F30854D" id="Line 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75pt,1.65pt" to="24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AeHYuXbAAAABwEAAA8AAABkcnMvZG93bnJldi54bWxMj0FP&#10;wkAQhe8m/ofNmHghsoUKIaVbYtTevIgarkN3bBu7s6W7QPXXO3rR45f38uabfDO6Tp1oCK1nA7Np&#10;Aoq48rbl2sDrS3mzAhUissXOMxn4pACb4vIix8z6Mz/TaRtrJSMcMjTQxNhnWoeqIYdh6ntiyd79&#10;4DAKDrW2A55l3HV6niRL7bBludBgT/cNVR/bozMQyjc6lF+TapLs0trT/PDw9IjGXF+Nd2tQkcb4&#10;V4YffVGHQpz2/sg2qE54MVtI1UCagpL8drWU3/a/rItc//cvvgEAAP//AwBQSwECLQAUAAYACAAA&#10;ACEAtoM4kv4AAADhAQAAEwAAAAAAAAAAAAAAAAAAAAAAW0NvbnRlbnRfVHlwZXNdLnhtbFBLAQIt&#10;ABQABgAIAAAAIQA4/SH/1gAAAJQBAAALAAAAAAAAAAAAAAAAAC8BAABfcmVscy8ucmVsc1BLAQIt&#10;ABQABgAIAAAAIQDv2MP6sAEAAEgDAAAOAAAAAAAAAAAAAAAAAC4CAABkcnMvZTJvRG9jLnhtbFBL&#10;AQItABQABgAIAAAAIQAHh2Ll2wAAAAcBAAAPAAAAAAAAAAAAAAAAAAoEAABkcnMvZG93bnJldi54&#10;bWxQSwUGAAAAAAQABADzAAAAEgUAAAAA&#10;">
                      <w10:wrap anchorx="margin"/>
                    </v:line>
                  </w:pict>
                </mc:Fallback>
              </mc:AlternateContent>
            </w:r>
          </w:p>
          <w:p w:rsidR="004B3A3B" w:rsidRPr="003C15AE" w:rsidRDefault="004B3A3B" w:rsidP="004B3A3B">
            <w:pPr>
              <w:spacing w:after="0" w:line="240" w:lineRule="auto"/>
              <w:jc w:val="center"/>
              <w:rPr>
                <w:sz w:val="28"/>
                <w:szCs w:val="28"/>
              </w:rPr>
            </w:pPr>
            <w:r w:rsidRPr="003C15AE">
              <w:rPr>
                <w:i/>
                <w:sz w:val="28"/>
                <w:szCs w:val="28"/>
              </w:rPr>
              <w:t>Đắk Lắk, ngày        tháng        năm 2026</w:t>
            </w:r>
          </w:p>
        </w:tc>
      </w:tr>
    </w:tbl>
    <w:p w:rsidR="0067333E" w:rsidRPr="003C15AE" w:rsidRDefault="0067333E" w:rsidP="004B3A3B">
      <w:pPr>
        <w:jc w:val="center"/>
        <w:rPr>
          <w:b/>
          <w:sz w:val="28"/>
          <w:szCs w:val="28"/>
        </w:rPr>
      </w:pPr>
      <w:r w:rsidRPr="003C15AE">
        <w:rPr>
          <w:b/>
          <w:noProof/>
          <w:sz w:val="28"/>
          <w:szCs w:val="28"/>
          <w:lang w:eastAsia="en-US"/>
        </w:rPr>
        <mc:AlternateContent>
          <mc:Choice Requires="wps">
            <w:drawing>
              <wp:anchor distT="0" distB="0" distL="114300" distR="114300" simplePos="0" relativeHeight="251659264" behindDoc="0" locked="0" layoutInCell="1" allowOverlap="1" wp14:anchorId="7CE39C95" wp14:editId="42FAE941">
                <wp:simplePos x="0" y="0"/>
                <wp:positionH relativeFrom="column">
                  <wp:posOffset>573405</wp:posOffset>
                </wp:positionH>
                <wp:positionV relativeFrom="paragraph">
                  <wp:posOffset>-3175</wp:posOffset>
                </wp:positionV>
                <wp:extent cx="1110615" cy="335280"/>
                <wp:effectExtent l="7620" t="6350" r="571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0615" cy="335280"/>
                        </a:xfrm>
                        <a:prstGeom prst="rect">
                          <a:avLst/>
                        </a:prstGeom>
                        <a:solidFill>
                          <a:srgbClr val="FFFFFF"/>
                        </a:solidFill>
                        <a:ln w="9525">
                          <a:solidFill>
                            <a:srgbClr val="000000"/>
                          </a:solidFill>
                          <a:miter lim="800000"/>
                          <a:headEnd/>
                          <a:tailEnd/>
                        </a:ln>
                      </wps:spPr>
                      <wps:txbx>
                        <w:txbxContent>
                          <w:p w:rsidR="0067333E" w:rsidRPr="003F7120" w:rsidRDefault="0067333E" w:rsidP="0067333E">
                            <w:pPr>
                              <w:jc w:val="center"/>
                              <w:rPr>
                                <w:b/>
                                <w:sz w:val="28"/>
                                <w:szCs w:val="28"/>
                              </w:rPr>
                            </w:pPr>
                            <w:r w:rsidRPr="003F7120">
                              <w:rPr>
                                <w:b/>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5.15pt;margin-top:-.25pt;width:87.45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1cLQIAAFAEAAAOAAAAZHJzL2Uyb0RvYy54bWysVNtu2zAMfR+wfxD0vthOky414hRdugwD&#10;ugvQ7gNkWY6FSaImKbGzry8lp5mx7WmYHwRJpA4PD0mvbwetyFE4L8FUtJjllAjDoZFmX9FvT7s3&#10;K0p8YKZhCoyo6El4ert5/Wrd21LMoQPVCEcQxPiytxXtQrBllnneCc38DKwwaGzBaRbw6PZZ41iP&#10;6Fpl8zy/znpwjXXAhfd4ez8a6Sbht63g4UvbehGIqihyC2l1aa3jmm3WrNw7ZjvJzzTYP7DQTBoM&#10;eoG6Z4GRg5N/QGnJHXhow4yDzqBtJRcpB8ymyH/L5rFjVqRcUBxvLzL5/wfLPx+/OiIbrB0lhmks&#10;0ZMYAnkHAymiOr31JTo9WnQLA15Hz5iptw/Av3tiYNsxsxd3zkHfCdYgu/QymzwdcXwEqftP0GAY&#10;dgiQgIbW6QiIYhBExyqdLpWJVHgMWRT5dbGkhKPt6mo5X6XSZax8eW2dDx8EaBI3FXVY+YTOjg8+&#10;YB7o+uKS2IOSzU4qlQ5uX2+VI0eGXbJLX0wdn/ipmzKkr+jNcr4cBZja/BQiT9/fILQM2O5K6oqu&#10;Lk6sjLK9N01qxsCkGvcYXxmkEXWM0o0ihqEeznWpoTmhog7GtsYxxE0H7iclPbZ0Rf2PA3OCEvXR&#10;YFVuisUizkA6LJZv53hwU0s9tTDDEaqigZJxuw3j3Bysk/sOI419YOAOK9nKJHKkOrI688a2TUKe&#10;RyzOxfScvH79CDbPAAAA//8DAFBLAwQUAAYACAAAACEAzFIjRt0AAAAHAQAADwAAAGRycy9kb3du&#10;cmV2LnhtbEyOwU7DMBBE70j8g7VIXFDrkJDQhmwqhASCGxQEVzfeJhHxOthuGv4ec4LjaEZvXrWZ&#10;zSAmcr63jHC5TEAQN1b33CK8vd4vViB8UKzVYJkQvsnDpj49qVSp7ZFfaNqGVkQI+1IhdCGMpZS+&#10;6cgov7Qjcez21hkVYnSt1E4dI9wMMk2SQhrVc3zo1Eh3HTWf24NBWF09Th/+KXt+b4r9sA4X19PD&#10;l0M8P5tvb0AEmsPfGH71ozrU0WlnD6y9GBDWSRaXCIscRKzTIk9B7BDyNANZV/K/f/0DAAD//wMA&#10;UEsBAi0AFAAGAAgAAAAhALaDOJL+AAAA4QEAABMAAAAAAAAAAAAAAAAAAAAAAFtDb250ZW50X1R5&#10;cGVzXS54bWxQSwECLQAUAAYACAAAACEAOP0h/9YAAACUAQAACwAAAAAAAAAAAAAAAAAvAQAAX3Jl&#10;bHMvLnJlbHNQSwECLQAUAAYACAAAACEASRitXC0CAABQBAAADgAAAAAAAAAAAAAAAAAuAgAAZHJz&#10;L2Uyb0RvYy54bWxQSwECLQAUAAYACAAAACEAzFIjRt0AAAAHAQAADwAAAAAAAAAAAAAAAACHBAAA&#10;ZHJzL2Rvd25yZXYueG1sUEsFBgAAAAAEAAQA8wAAAJEFAAAAAA==&#10;">
                <v:textbox>
                  <w:txbxContent>
                    <w:p w14:paraId="293E2A85" w14:textId="77777777" w:rsidR="0067333E" w:rsidRPr="003F7120" w:rsidRDefault="0067333E" w:rsidP="0067333E">
                      <w:pPr>
                        <w:jc w:val="center"/>
                        <w:rPr>
                          <w:b/>
                          <w:sz w:val="28"/>
                          <w:szCs w:val="28"/>
                        </w:rPr>
                      </w:pPr>
                      <w:r w:rsidRPr="003F7120">
                        <w:rPr>
                          <w:b/>
                          <w:sz w:val="28"/>
                          <w:szCs w:val="28"/>
                        </w:rPr>
                        <w:t>DỰ THẢO</w:t>
                      </w:r>
                    </w:p>
                  </w:txbxContent>
                </v:textbox>
              </v:shape>
            </w:pict>
          </mc:Fallback>
        </mc:AlternateContent>
      </w:r>
    </w:p>
    <w:p w:rsidR="00404E37" w:rsidRPr="003C15AE" w:rsidRDefault="00F527FF" w:rsidP="004B3A3B">
      <w:pPr>
        <w:jc w:val="center"/>
        <w:rPr>
          <w:b/>
          <w:sz w:val="28"/>
          <w:szCs w:val="28"/>
        </w:rPr>
      </w:pPr>
      <w:r w:rsidRPr="003C15AE">
        <w:rPr>
          <w:b/>
          <w:sz w:val="28"/>
          <w:szCs w:val="28"/>
        </w:rPr>
        <w:t>QUYẾT ĐỊNH</w:t>
      </w:r>
    </w:p>
    <w:p w:rsidR="004B3A3B" w:rsidRPr="003C15AE" w:rsidRDefault="00F527FF" w:rsidP="004B3A3B">
      <w:pPr>
        <w:jc w:val="center"/>
        <w:rPr>
          <w:b/>
          <w:sz w:val="28"/>
          <w:szCs w:val="28"/>
        </w:rPr>
      </w:pPr>
      <w:r w:rsidRPr="003C15AE">
        <w:rPr>
          <w:b/>
          <w:sz w:val="28"/>
          <w:szCs w:val="28"/>
        </w:rPr>
        <w:t xml:space="preserve">Ban hành Quy định về cơ chế, chính sách khuyến khích phát triển </w:t>
      </w:r>
    </w:p>
    <w:p w:rsidR="004B3A3B" w:rsidRPr="003C15AE" w:rsidRDefault="00F527FF" w:rsidP="004B3A3B">
      <w:pPr>
        <w:jc w:val="center"/>
        <w:rPr>
          <w:b/>
          <w:sz w:val="28"/>
          <w:szCs w:val="28"/>
        </w:rPr>
      </w:pPr>
      <w:r w:rsidRPr="003C15AE">
        <w:rPr>
          <w:b/>
          <w:sz w:val="28"/>
          <w:szCs w:val="28"/>
        </w:rPr>
        <w:t>điện mặt trời mái nhà tự sản xuất, tự tiêu thụ và hệ thống lưu trữ điện</w:t>
      </w:r>
    </w:p>
    <w:p w:rsidR="00404E37" w:rsidRPr="003C15AE" w:rsidRDefault="00F527FF" w:rsidP="004B3A3B">
      <w:pPr>
        <w:jc w:val="center"/>
        <w:rPr>
          <w:b/>
          <w:sz w:val="28"/>
          <w:szCs w:val="28"/>
        </w:rPr>
      </w:pPr>
      <w:r w:rsidRPr="003C15AE">
        <w:rPr>
          <w:b/>
          <w:sz w:val="28"/>
          <w:szCs w:val="28"/>
        </w:rPr>
        <w:t xml:space="preserve"> trên địa bàn tỉnh Đắk Lắk</w:t>
      </w:r>
    </w:p>
    <w:p w:rsidR="00404E37" w:rsidRPr="003C15AE" w:rsidRDefault="00F527FF" w:rsidP="004B3A3B">
      <w:pPr>
        <w:ind w:firstLine="720"/>
        <w:jc w:val="both"/>
        <w:rPr>
          <w:i/>
          <w:sz w:val="28"/>
          <w:szCs w:val="28"/>
        </w:rPr>
      </w:pPr>
      <w:r w:rsidRPr="003C15AE">
        <w:rPr>
          <w:i/>
          <w:sz w:val="28"/>
          <w:szCs w:val="28"/>
        </w:rPr>
        <w:t>Căn cứ Luật Tổ chức chính quyền địa phương số 72/2025/QH15;</w:t>
      </w:r>
    </w:p>
    <w:p w:rsidR="00404E37" w:rsidRPr="003C15AE" w:rsidRDefault="00F527FF" w:rsidP="004B3A3B">
      <w:pPr>
        <w:ind w:firstLine="720"/>
        <w:jc w:val="both"/>
        <w:rPr>
          <w:i/>
          <w:sz w:val="28"/>
          <w:szCs w:val="28"/>
        </w:rPr>
      </w:pPr>
      <w:r w:rsidRPr="003C15AE">
        <w:rPr>
          <w:i/>
          <w:sz w:val="28"/>
          <w:szCs w:val="28"/>
        </w:rPr>
        <w:t>Căn cứ Luật Điện lực số 61/2024/QH15;</w:t>
      </w:r>
    </w:p>
    <w:p w:rsidR="00404E37" w:rsidRPr="003C15AE" w:rsidRDefault="00F527FF" w:rsidP="004B3A3B">
      <w:pPr>
        <w:ind w:firstLine="720"/>
        <w:jc w:val="both"/>
        <w:rPr>
          <w:i/>
          <w:sz w:val="28"/>
          <w:szCs w:val="28"/>
        </w:rPr>
      </w:pPr>
      <w:r w:rsidRPr="003C15AE">
        <w:rPr>
          <w:i/>
          <w:sz w:val="28"/>
          <w:szCs w:val="28"/>
        </w:rPr>
        <w:t>Căn cứ Luật Ban hành văn bản quy phạm pháp luật số 64/2025/QH15;</w:t>
      </w:r>
    </w:p>
    <w:p w:rsidR="00404E37" w:rsidRPr="003C15AE" w:rsidRDefault="00F527FF" w:rsidP="004B3A3B">
      <w:pPr>
        <w:ind w:firstLine="720"/>
        <w:jc w:val="both"/>
        <w:rPr>
          <w:i/>
          <w:sz w:val="28"/>
          <w:szCs w:val="28"/>
        </w:rPr>
      </w:pPr>
      <w:r w:rsidRPr="003C15AE">
        <w:rPr>
          <w:i/>
          <w:sz w:val="28"/>
          <w:szCs w:val="28"/>
        </w:rPr>
        <w:t>Căn cứ Luật sửa đổi, bổ sung một số điều của Luật Ban hành văn bản quy phạm pháp luật số 87/2025/QH15;</w:t>
      </w:r>
    </w:p>
    <w:p w:rsidR="00404E37" w:rsidRPr="003C15AE" w:rsidRDefault="00F527FF" w:rsidP="004B3A3B">
      <w:pPr>
        <w:ind w:firstLine="720"/>
        <w:jc w:val="both"/>
        <w:rPr>
          <w:i/>
          <w:sz w:val="28"/>
          <w:szCs w:val="28"/>
        </w:rPr>
      </w:pPr>
      <w:r w:rsidRPr="003C15AE">
        <w:rPr>
          <w:i/>
          <w:sz w:val="28"/>
          <w:szCs w:val="28"/>
        </w:rPr>
        <w:t>Căn cứ Nghị định số 58/2025/NĐ-CP của Chính phủ quy định chi tiết một số điều của Luật Điện lực về phát triển điện năng lượng tái tạo, điện năng lượng mới</w:t>
      </w:r>
      <w:r w:rsidR="00FF48D3">
        <w:rPr>
          <w:i/>
          <w:sz w:val="28"/>
          <w:szCs w:val="28"/>
        </w:rPr>
        <w:t xml:space="preserve"> được sửa đổi, bổ sung bởi</w:t>
      </w:r>
      <w:r w:rsidR="00FF48D3" w:rsidRPr="00FF48D3">
        <w:t xml:space="preserve"> </w:t>
      </w:r>
      <w:r w:rsidR="00FF48D3" w:rsidRPr="00FF48D3">
        <w:rPr>
          <w:i/>
          <w:sz w:val="28"/>
          <w:szCs w:val="28"/>
        </w:rPr>
        <w:t>Nghị định số 243/2026/NĐ-CP</w:t>
      </w:r>
      <w:r w:rsidR="00FF48D3">
        <w:rPr>
          <w:i/>
          <w:sz w:val="28"/>
          <w:szCs w:val="28"/>
        </w:rPr>
        <w:t xml:space="preserve"> ngày 26 tháng 6 năm 2026</w:t>
      </w:r>
      <w:r w:rsidR="00FF48D3" w:rsidRPr="00FF48D3">
        <w:rPr>
          <w:i/>
          <w:sz w:val="28"/>
          <w:szCs w:val="28"/>
        </w:rPr>
        <w:t xml:space="preserve"> của Chính phủ</w:t>
      </w:r>
      <w:r w:rsidRPr="00FF48D3">
        <w:rPr>
          <w:i/>
          <w:sz w:val="28"/>
          <w:szCs w:val="28"/>
        </w:rPr>
        <w:t>;</w:t>
      </w:r>
      <w:bookmarkStart w:id="0" w:name="_GoBack"/>
      <w:bookmarkEnd w:id="0"/>
    </w:p>
    <w:p w:rsidR="004A6B18" w:rsidRPr="003C15AE" w:rsidRDefault="004A6B18" w:rsidP="004B3A3B">
      <w:pPr>
        <w:ind w:firstLine="720"/>
        <w:jc w:val="both"/>
        <w:rPr>
          <w:i/>
          <w:sz w:val="28"/>
          <w:szCs w:val="28"/>
        </w:rPr>
      </w:pPr>
      <w:r w:rsidRPr="003C15AE">
        <w:rPr>
          <w:i/>
          <w:sz w:val="28"/>
          <w:szCs w:val="28"/>
        </w:rPr>
        <w:t>Theo đề nghị của Giám đốc Sở Công Thương tại Tờ trình số      /TTr-SCT ngày  tháng  năm 2026;</w:t>
      </w:r>
    </w:p>
    <w:p w:rsidR="004B3A3B" w:rsidRPr="003C15AE" w:rsidRDefault="004B3A3B" w:rsidP="004B3A3B">
      <w:pPr>
        <w:spacing w:before="120" w:after="120"/>
        <w:ind w:firstLine="720"/>
        <w:jc w:val="both"/>
        <w:rPr>
          <w:i/>
          <w:sz w:val="28"/>
          <w:szCs w:val="28"/>
        </w:rPr>
      </w:pPr>
      <w:r w:rsidRPr="003C15AE">
        <w:rPr>
          <w:i/>
          <w:iCs/>
          <w:sz w:val="28"/>
          <w:szCs w:val="28"/>
        </w:rPr>
        <w:t>Ủy ban nhân dân ban hành Quyết định ban hành Quy định về cơ chế, chính sách khuyến khích phát triển điện mặt trời mái nhà tự sản xuất, tự tiêu thụ và hệ thống lưu trữ điện trên địa bàn tỉnh Đắk Lắk</w:t>
      </w:r>
      <w:r w:rsidR="007822A6" w:rsidRPr="003C15AE">
        <w:rPr>
          <w:i/>
          <w:iCs/>
          <w:sz w:val="28"/>
          <w:szCs w:val="28"/>
        </w:rPr>
        <w:t>.</w:t>
      </w:r>
    </w:p>
    <w:p w:rsidR="00404E37" w:rsidRPr="003C15AE" w:rsidRDefault="00F527FF" w:rsidP="004B3A3B">
      <w:pPr>
        <w:ind w:firstLine="720"/>
        <w:jc w:val="both"/>
        <w:rPr>
          <w:sz w:val="28"/>
          <w:szCs w:val="28"/>
        </w:rPr>
      </w:pPr>
      <w:r w:rsidRPr="003C15AE">
        <w:rPr>
          <w:b/>
          <w:sz w:val="28"/>
          <w:szCs w:val="28"/>
        </w:rPr>
        <w:t>Điều 1.</w:t>
      </w:r>
      <w:r w:rsidRPr="003C15AE">
        <w:rPr>
          <w:sz w:val="28"/>
          <w:szCs w:val="28"/>
        </w:rPr>
        <w:t xml:space="preserve"> Ban hành kèm theo Quyết định này Quy định về cơ chế, chính sách khuyến khích phát triển điện mặt trời mái nhà tự sản xuất, tự tiêu thụ và hệ thống lưu trữ điện trên địa bàn tỉnh Đắk Lắk.</w:t>
      </w:r>
    </w:p>
    <w:p w:rsidR="00264E27" w:rsidRPr="00264E27" w:rsidRDefault="00F527FF" w:rsidP="004B3A3B">
      <w:pPr>
        <w:ind w:firstLine="720"/>
        <w:jc w:val="both"/>
        <w:rPr>
          <w:b/>
          <w:sz w:val="28"/>
          <w:szCs w:val="28"/>
        </w:rPr>
      </w:pPr>
      <w:r w:rsidRPr="00264E27">
        <w:rPr>
          <w:b/>
          <w:sz w:val="28"/>
          <w:szCs w:val="28"/>
        </w:rPr>
        <w:t xml:space="preserve">Điều 2. </w:t>
      </w:r>
      <w:r w:rsidR="00264E27" w:rsidRPr="00264E27">
        <w:rPr>
          <w:b/>
          <w:sz w:val="28"/>
          <w:szCs w:val="28"/>
        </w:rPr>
        <w:t>Tổ chức thực hiện</w:t>
      </w:r>
    </w:p>
    <w:p w:rsidR="00404E37" w:rsidRDefault="00F527FF" w:rsidP="004B3A3B">
      <w:pPr>
        <w:ind w:firstLine="720"/>
        <w:jc w:val="both"/>
        <w:rPr>
          <w:sz w:val="28"/>
          <w:szCs w:val="28"/>
        </w:rPr>
      </w:pPr>
      <w:r w:rsidRPr="003C15AE">
        <w:rPr>
          <w:sz w:val="28"/>
          <w:szCs w:val="28"/>
        </w:rPr>
        <w:t>Giao Sở Công Thương chủ trì, phối hợp với các sở, ban, ngành, Ủy ban nhân dân các xã, phường, đơn vị điện lực và các cơ quan, đơn vị có liên quan tổ chức triển khai thực hiện, theo dõi, đôn đốc, tổng hợp tình hình thực hiện Quy định ban hành kèm theo Quyết định này; kịp thời báo cáo, đề xuất Ủy ban nhân dân tỉnh xem xét, xử lý các khó khăn, vướng mắc theo thẩm quyền.</w:t>
      </w:r>
    </w:p>
    <w:p w:rsidR="00264E27" w:rsidRPr="003C15AE" w:rsidRDefault="00264E27" w:rsidP="004B3A3B">
      <w:pPr>
        <w:ind w:firstLine="720"/>
        <w:jc w:val="both"/>
        <w:rPr>
          <w:sz w:val="28"/>
          <w:szCs w:val="28"/>
        </w:rPr>
      </w:pPr>
      <w:r w:rsidRPr="00264E27">
        <w:rPr>
          <w:sz w:val="28"/>
          <w:szCs w:val="28"/>
        </w:rPr>
        <w:t>Chánh Văn phòng Ủy ban nhân dân tỉnh; Thủ trưởng các sở, ban, ngành; Chủ tịch Ủy ban nhân dân các xã, phường và các cơ quan, đơn vị, tổ chức, cá nhân có liên quan chịu trách nhiệm thi hành Quyết định này</w:t>
      </w:r>
      <w:r>
        <w:rPr>
          <w:sz w:val="28"/>
          <w:szCs w:val="28"/>
        </w:rPr>
        <w:t>.</w:t>
      </w:r>
    </w:p>
    <w:p w:rsidR="00264E27" w:rsidRPr="00264E27" w:rsidRDefault="00F527FF" w:rsidP="004B3A3B">
      <w:pPr>
        <w:ind w:firstLine="720"/>
        <w:jc w:val="both"/>
        <w:rPr>
          <w:b/>
          <w:sz w:val="28"/>
          <w:szCs w:val="28"/>
        </w:rPr>
      </w:pPr>
      <w:r w:rsidRPr="00264E27">
        <w:rPr>
          <w:b/>
          <w:sz w:val="28"/>
          <w:szCs w:val="28"/>
        </w:rPr>
        <w:lastRenderedPageBreak/>
        <w:t xml:space="preserve">Điều 3. </w:t>
      </w:r>
      <w:r w:rsidR="00264E27">
        <w:rPr>
          <w:b/>
          <w:sz w:val="28"/>
          <w:szCs w:val="28"/>
        </w:rPr>
        <w:t>Hiệu lực thi hành</w:t>
      </w:r>
    </w:p>
    <w:p w:rsidR="00404E37" w:rsidRPr="003C15AE" w:rsidRDefault="00F527FF" w:rsidP="00346900">
      <w:pPr>
        <w:spacing w:after="120"/>
        <w:ind w:firstLine="720"/>
        <w:jc w:val="both"/>
        <w:rPr>
          <w:sz w:val="28"/>
          <w:szCs w:val="28"/>
        </w:rPr>
      </w:pPr>
      <w:r w:rsidRPr="003C15AE">
        <w:rPr>
          <w:sz w:val="28"/>
          <w:szCs w:val="28"/>
        </w:rPr>
        <w:t>Quyết định này có hiệu lực thi hành</w:t>
      </w:r>
      <w:r w:rsidR="00264E27">
        <w:rPr>
          <w:sz w:val="28"/>
          <w:szCs w:val="28"/>
        </w:rPr>
        <w:t xml:space="preserve"> kể từ ngày … tháng … năm </w:t>
      </w:r>
      <w:r w:rsidR="00264E27" w:rsidRPr="00346900">
        <w:rPr>
          <w:sz w:val="28"/>
          <w:szCs w:val="28"/>
        </w:rPr>
        <w:t>2026</w:t>
      </w:r>
      <w:r w:rsidR="004B3A3B" w:rsidRPr="00346900">
        <w:rPr>
          <w:sz w:val="28"/>
          <w:szCs w:val="28"/>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16"/>
        <w:gridCol w:w="4716"/>
      </w:tblGrid>
      <w:tr w:rsidR="004B3A3B" w:rsidRPr="003C15AE" w:rsidTr="00744D68">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4B3A3B" w:rsidRPr="003C15AE" w:rsidRDefault="004B3A3B" w:rsidP="00744D68">
            <w:pPr>
              <w:pStyle w:val="NormalWeb"/>
              <w:shd w:val="clear" w:color="auto" w:fill="FFFFFF"/>
              <w:spacing w:before="0" w:beforeAutospacing="0" w:after="0" w:afterAutospacing="0"/>
              <w:rPr>
                <w:sz w:val="22"/>
                <w:szCs w:val="22"/>
              </w:rPr>
            </w:pPr>
            <w:r w:rsidRPr="003C15AE">
              <w:rPr>
                <w:b/>
                <w:bCs/>
                <w:i/>
                <w:iCs/>
              </w:rPr>
              <w:t>Nơi nhận:</w:t>
            </w:r>
            <w:r w:rsidRPr="003C15AE">
              <w:rPr>
                <w:b/>
                <w:bCs/>
                <w:i/>
                <w:iCs/>
              </w:rPr>
              <w:br/>
            </w:r>
            <w:r w:rsidR="00264E27">
              <w:rPr>
                <w:sz w:val="22"/>
                <w:szCs w:val="22"/>
              </w:rPr>
              <w:t>- Như Điều 2</w:t>
            </w:r>
            <w:r w:rsidRPr="003C15AE">
              <w:rPr>
                <w:sz w:val="22"/>
                <w:szCs w:val="22"/>
              </w:rPr>
              <w:t>;</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Vụ pháp chế - Bộ Công Thương;</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Cục Kiểm tra văn bản và Tổ chức thi hành pháp luật</w:t>
            </w:r>
            <w:r w:rsidR="008B68E9" w:rsidRPr="003C15AE">
              <w:rPr>
                <w:sz w:val="22"/>
                <w:szCs w:val="22"/>
              </w:rPr>
              <w:t xml:space="preserve"> -</w:t>
            </w:r>
            <w:r w:rsidRPr="003C15AE">
              <w:rPr>
                <w:sz w:val="22"/>
                <w:szCs w:val="22"/>
              </w:rPr>
              <w:t xml:space="preserve"> Bộ Tư pháp;</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TT Tỉnh ủy; TT HĐND tỉnh;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Đoàn Đại biểu Quốc hội tỉnh;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CT, PCT UBND tỉnh;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Ủy ban MTTQVN tỉnh;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Các Sở, ban, ngành;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UBND các xã, phường;</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CVP, PCVP UBND tỉnh;</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Báo và Phát thanh, Truyền hình Đắk Lắk;</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Trung tâm CN và Cổng TTĐT tỉnh (để đăng tải);</w:t>
            </w:r>
          </w:p>
          <w:p w:rsidR="004B3A3B" w:rsidRPr="003C15AE" w:rsidRDefault="004B3A3B" w:rsidP="00744D68">
            <w:pPr>
              <w:pStyle w:val="NormalWeb"/>
              <w:shd w:val="clear" w:color="auto" w:fill="FFFFFF"/>
              <w:spacing w:before="0" w:beforeAutospacing="0" w:after="0" w:afterAutospacing="0"/>
              <w:rPr>
                <w:sz w:val="22"/>
                <w:szCs w:val="22"/>
              </w:rPr>
            </w:pPr>
            <w:r w:rsidRPr="003C15AE">
              <w:rPr>
                <w:sz w:val="22"/>
                <w:szCs w:val="22"/>
              </w:rPr>
              <w:t xml:space="preserve">- Lưu: VT, ĐTKT </w:t>
            </w:r>
            <w:r w:rsidRPr="003C15AE">
              <w:rPr>
                <w:sz w:val="22"/>
                <w:szCs w:val="22"/>
                <w:vertAlign w:val="subscript"/>
              </w:rPr>
              <w:t>NN</w:t>
            </w:r>
          </w:p>
          <w:p w:rsidR="004B3A3B" w:rsidRPr="003C15AE" w:rsidRDefault="004B3A3B" w:rsidP="00744D68"/>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4B3A3B" w:rsidRPr="003C15AE" w:rsidRDefault="004B3A3B" w:rsidP="00744D68">
            <w:pPr>
              <w:spacing w:before="120"/>
              <w:jc w:val="center"/>
              <w:rPr>
                <w:b/>
                <w:bCs/>
                <w:szCs w:val="26"/>
              </w:rPr>
            </w:pPr>
            <w:r w:rsidRPr="003C15AE">
              <w:rPr>
                <w:b/>
                <w:bCs/>
                <w:sz w:val="28"/>
                <w:szCs w:val="28"/>
              </w:rPr>
              <w:t>TM. ỦY BAN NHÂN DÂN</w:t>
            </w:r>
            <w:r w:rsidRPr="003C15AE">
              <w:rPr>
                <w:b/>
                <w:bCs/>
                <w:sz w:val="28"/>
                <w:szCs w:val="28"/>
              </w:rPr>
              <w:br/>
              <w:t>KT. CHỦ TỊCH</w:t>
            </w:r>
            <w:r w:rsidRPr="003C15AE">
              <w:rPr>
                <w:b/>
                <w:bCs/>
                <w:sz w:val="28"/>
                <w:szCs w:val="28"/>
              </w:rPr>
              <w:br/>
              <w:t>PHÓ CHỦ TỊCH</w:t>
            </w:r>
            <w:r w:rsidRPr="003C15AE">
              <w:rPr>
                <w:b/>
                <w:bCs/>
                <w:sz w:val="28"/>
                <w:szCs w:val="28"/>
              </w:rPr>
              <w:br/>
            </w:r>
          </w:p>
          <w:p w:rsidR="004B3A3B" w:rsidRPr="003C15AE" w:rsidRDefault="004B3A3B" w:rsidP="00744D68">
            <w:pPr>
              <w:spacing w:before="120"/>
              <w:jc w:val="center"/>
              <w:rPr>
                <w:b/>
                <w:bCs/>
                <w:szCs w:val="26"/>
              </w:rPr>
            </w:pPr>
          </w:p>
          <w:p w:rsidR="004B3A3B" w:rsidRPr="003C15AE" w:rsidRDefault="004B3A3B" w:rsidP="00744D68">
            <w:pPr>
              <w:spacing w:before="120"/>
              <w:jc w:val="center"/>
              <w:rPr>
                <w:b/>
                <w:bCs/>
              </w:rPr>
            </w:pPr>
          </w:p>
          <w:p w:rsidR="004B3A3B" w:rsidRPr="003C15AE" w:rsidRDefault="004B3A3B" w:rsidP="00744D68">
            <w:pPr>
              <w:spacing w:before="120"/>
              <w:rPr>
                <w:b/>
                <w:bCs/>
              </w:rPr>
            </w:pPr>
          </w:p>
          <w:p w:rsidR="004B3A3B" w:rsidRPr="003C15AE" w:rsidRDefault="004B3A3B" w:rsidP="00744D68">
            <w:pPr>
              <w:spacing w:before="120"/>
              <w:jc w:val="center"/>
              <w:rPr>
                <w:b/>
                <w:bCs/>
              </w:rPr>
            </w:pPr>
          </w:p>
          <w:p w:rsidR="004B3A3B" w:rsidRPr="003C15AE" w:rsidRDefault="004B3A3B" w:rsidP="00744D68">
            <w:pPr>
              <w:spacing w:before="120"/>
              <w:jc w:val="center"/>
              <w:rPr>
                <w:sz w:val="28"/>
                <w:szCs w:val="28"/>
              </w:rPr>
            </w:pPr>
            <w:r w:rsidRPr="003C15AE">
              <w:rPr>
                <w:b/>
                <w:bCs/>
              </w:rPr>
              <w:br/>
            </w:r>
            <w:r w:rsidRPr="003C15AE">
              <w:rPr>
                <w:b/>
                <w:bCs/>
                <w:sz w:val="28"/>
                <w:szCs w:val="28"/>
              </w:rPr>
              <w:t>Đào Mỹ</w:t>
            </w:r>
            <w:r w:rsidRPr="003C15AE">
              <w:rPr>
                <w:b/>
                <w:bCs/>
                <w:sz w:val="28"/>
                <w:szCs w:val="28"/>
              </w:rPr>
              <w:br/>
            </w:r>
            <w:r w:rsidRPr="003C15AE">
              <w:rPr>
                <w:b/>
                <w:bCs/>
                <w:sz w:val="28"/>
                <w:szCs w:val="28"/>
              </w:rPr>
              <w:br/>
            </w:r>
          </w:p>
        </w:tc>
      </w:tr>
    </w:tbl>
    <w:p w:rsidR="00404E37" w:rsidRPr="003C15AE" w:rsidRDefault="00404E37">
      <w:pPr>
        <w:rPr>
          <w:sz w:val="16"/>
        </w:rPr>
      </w:pPr>
    </w:p>
    <w:p w:rsidR="004B3A3B" w:rsidRPr="003C15AE" w:rsidRDefault="004B3A3B">
      <w:pPr>
        <w:jc w:val="center"/>
        <w:rPr>
          <w:b/>
          <w:sz w:val="30"/>
        </w:rPr>
        <w:sectPr w:rsidR="004B3A3B" w:rsidRPr="003C15AE">
          <w:pgSz w:w="12240" w:h="15840"/>
          <w:pgMar w:top="1008" w:right="1152" w:bottom="1008" w:left="1656" w:header="0" w:footer="0" w:gutter="0"/>
          <w:cols w:space="720"/>
          <w:formProt w:val="0"/>
          <w:docGrid w:linePitch="360"/>
        </w:sectPr>
      </w:pPr>
    </w:p>
    <w:tbl>
      <w:tblPr>
        <w:tblW w:w="10105" w:type="dxa"/>
        <w:tblBorders>
          <w:top w:val="nil"/>
          <w:bottom w:val="nil"/>
          <w:insideH w:val="nil"/>
          <w:insideV w:val="nil"/>
        </w:tblBorders>
        <w:tblCellMar>
          <w:left w:w="0" w:type="dxa"/>
          <w:right w:w="0" w:type="dxa"/>
        </w:tblCellMar>
        <w:tblLook w:val="04A0" w:firstRow="1" w:lastRow="0" w:firstColumn="1" w:lastColumn="0" w:noHBand="0" w:noVBand="1"/>
      </w:tblPr>
      <w:tblGrid>
        <w:gridCol w:w="3471"/>
        <w:gridCol w:w="6634"/>
      </w:tblGrid>
      <w:tr w:rsidR="007822A6" w:rsidRPr="003C15AE" w:rsidTr="00B424D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7822A6" w:rsidRPr="003C15AE" w:rsidRDefault="007822A6" w:rsidP="00B424D0">
            <w:pPr>
              <w:spacing w:before="120"/>
              <w:jc w:val="center"/>
              <w:rPr>
                <w:sz w:val="28"/>
                <w:szCs w:val="28"/>
              </w:rPr>
            </w:pPr>
            <w:r w:rsidRPr="003C15AE">
              <w:rPr>
                <w:noProof/>
                <w:sz w:val="28"/>
                <w:szCs w:val="28"/>
                <w:lang w:eastAsia="en-US"/>
              </w:rPr>
              <w:lastRenderedPageBreak/>
              <mc:AlternateContent>
                <mc:Choice Requires="wps">
                  <w:drawing>
                    <wp:anchor distT="0" distB="0" distL="114300" distR="114300" simplePos="0" relativeHeight="251661312" behindDoc="0" locked="0" layoutInCell="1" allowOverlap="1">
                      <wp:simplePos x="0" y="0"/>
                      <wp:positionH relativeFrom="column">
                        <wp:posOffset>641985</wp:posOffset>
                      </wp:positionH>
                      <wp:positionV relativeFrom="paragraph">
                        <wp:posOffset>493395</wp:posOffset>
                      </wp:positionV>
                      <wp:extent cx="655320" cy="8255"/>
                      <wp:effectExtent l="0" t="0" r="30480" b="298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FDECC9" id="_x0000_t32" coordsize="21600,21600" o:spt="32" o:oned="t" path="m,l21600,21600e" filled="f">
                      <v:path arrowok="t" fillok="f" o:connecttype="none"/>
                      <o:lock v:ext="edit" shapetype="t"/>
                    </v:shapetype>
                    <v:shape id="Straight Arrow Connector 4" o:spid="_x0000_s1026" type="#_x0000_t32" style="position:absolute;margin-left:50.55pt;margin-top:38.85pt;width:51.6pt;height:.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QLxJwIAAEwEAAAOAAAAZHJzL2Uyb0RvYy54bWysVMFu2zAMvQ/YPwi6p45TO0uNOEVhJ7t0&#10;a4F2H6BIcizMFgVJiRMM+/dRihO022UY5oNMmeLjI/nk5f2x78hBWqdAlzS9mVIiNQeh9K6k3143&#10;kwUlzjMtWAdalvQkHb1fffywHEwhZ9BCJ6QlCKJdMZiStt6bIkkcb2XP3A0YqdHZgO2Zx63dJcKy&#10;AdH7LplNp/NkACuMBS6dw6/12UlXEb9pJPdPTeOkJ11JkZuPq43rNqzJasmKnWWmVXykwf6BRc+U&#10;xqRXqJp5RvZW/QHVK27BQeNvOPQJNI3iMtaA1aTT36p5aZmRsRZsjjPXNrn/B8u/Hp4tUaKkGSWa&#10;9TiiF2+Z2rWePFgLA6lAa2wjWJKFbg3GFRhU6Wcb6uVH/WIegX93REPVMr2TkfXrySBUGiKSdyFh&#10;4wzm3A5fQOAZtvcQW3dsbB8gsSnkGCd0uk5IHj3h+HGe57cznCNH12KW5xGfFZdQY53/LKEnwSip&#10;Gyu5lpDGROzw6HwgxopLQMirYaO6Lgqi02Qo6V0+y2OAg06J4AzHnN1tq86SAwuSis/I4t0xC3st&#10;IlgrmViPtmeqO9uYvNMBD0tDOqN11syPu+nderFeZJNsNl9PsmldTx42VTaZb9JPeX1bV1Wd/gzU&#10;0qxolRBSB3YX/abZ3+ljvEln5V0VfG1D8h499gvJXt6RdJxtGOdZGFsQp2d7mTlKNh4er1e4E2/3&#10;aL/9Cax+AQAA//8DAFBLAwQUAAYACAAAACEAP56ki94AAAAJAQAADwAAAGRycy9kb3ducmV2Lnht&#10;bEyPTU/DMAyG70j8h8hIXBBLWj66labThMSBI9skrlnjtYXGqZp0Lfv1mBM7vvaj14+L9ew6ccIh&#10;tJ40JAsFAqnytqVaw373dr8EEaIhazpPqOEHA6zL66vC5NZP9IGnbawFl1DIjYYmxj6XMlQNOhMW&#10;vkfi3dEPzkSOQy3tYCYud51MlXqWzrTEFxrT42uD1fd2dBowjE+J2qxcvX8/T3ef6flr6nda397M&#10;mxcQEef4D8OfPqtDyU4HP5INouOskoRRDVmWgWAgVY8PIA48WCmQZSEvPyh/AQAA//8DAFBLAQIt&#10;ABQABgAIAAAAIQC2gziS/gAAAOEBAAATAAAAAAAAAAAAAAAAAAAAAABbQ29udGVudF9UeXBlc10u&#10;eG1sUEsBAi0AFAAGAAgAAAAhADj9If/WAAAAlAEAAAsAAAAAAAAAAAAAAAAALwEAAF9yZWxzLy5y&#10;ZWxzUEsBAi0AFAAGAAgAAAAhAJrtAvEnAgAATAQAAA4AAAAAAAAAAAAAAAAALgIAAGRycy9lMm9E&#10;b2MueG1sUEsBAi0AFAAGAAgAAAAhAD+epIveAAAACQEAAA8AAAAAAAAAAAAAAAAAgQQAAGRycy9k&#10;b3ducmV2LnhtbFBLBQYAAAAABAAEAPMAAACMBQAAAAA=&#10;"/>
                  </w:pict>
                </mc:Fallback>
              </mc:AlternateContent>
            </w:r>
            <w:r w:rsidRPr="003C15AE">
              <w:rPr>
                <w:b/>
                <w:bCs/>
                <w:sz w:val="28"/>
                <w:szCs w:val="28"/>
              </w:rPr>
              <w:t>ỦY BAN NHÂN DÂN</w:t>
            </w:r>
            <w:r w:rsidRPr="003C15AE">
              <w:rPr>
                <w:b/>
                <w:bCs/>
                <w:sz w:val="28"/>
                <w:szCs w:val="28"/>
              </w:rPr>
              <w:br/>
              <w:t>TỈNH ĐẮK LẮK</w:t>
            </w:r>
            <w:r w:rsidRPr="003C15AE">
              <w:rPr>
                <w:b/>
                <w:bCs/>
                <w:sz w:val="28"/>
                <w:szCs w:val="28"/>
              </w:rPr>
              <w:br/>
            </w:r>
          </w:p>
        </w:tc>
        <w:tc>
          <w:tcPr>
            <w:tcW w:w="6399" w:type="dxa"/>
            <w:tcBorders>
              <w:top w:val="nil"/>
              <w:left w:val="nil"/>
              <w:bottom w:val="nil"/>
              <w:right w:val="nil"/>
              <w:tl2br w:val="nil"/>
              <w:tr2bl w:val="nil"/>
            </w:tcBorders>
            <w:shd w:val="clear" w:color="auto" w:fill="auto"/>
            <w:tcMar>
              <w:top w:w="0" w:type="dxa"/>
              <w:left w:w="108" w:type="dxa"/>
              <w:bottom w:w="0" w:type="dxa"/>
              <w:right w:w="108" w:type="dxa"/>
            </w:tcMar>
          </w:tcPr>
          <w:p w:rsidR="007822A6" w:rsidRPr="003C15AE" w:rsidRDefault="007822A6" w:rsidP="00B424D0">
            <w:pPr>
              <w:spacing w:before="120"/>
              <w:jc w:val="center"/>
              <w:rPr>
                <w:sz w:val="28"/>
                <w:szCs w:val="28"/>
              </w:rPr>
            </w:pPr>
            <w:r w:rsidRPr="003C15AE">
              <w:rPr>
                <w:noProof/>
                <w:sz w:val="28"/>
                <w:szCs w:val="28"/>
                <w:lang w:eastAsia="en-US"/>
              </w:rPr>
              <mc:AlternateContent>
                <mc:Choice Requires="wps">
                  <w:drawing>
                    <wp:anchor distT="0" distB="0" distL="114300" distR="114300" simplePos="0" relativeHeight="251662336" behindDoc="0" locked="0" layoutInCell="1" allowOverlap="1">
                      <wp:simplePos x="0" y="0"/>
                      <wp:positionH relativeFrom="column">
                        <wp:posOffset>965835</wp:posOffset>
                      </wp:positionH>
                      <wp:positionV relativeFrom="paragraph">
                        <wp:posOffset>550545</wp:posOffset>
                      </wp:positionV>
                      <wp:extent cx="2139315" cy="11430"/>
                      <wp:effectExtent l="0" t="0" r="32385" b="2667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9315" cy="114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0414A" id="Straight Arrow Connector 3" o:spid="_x0000_s1026" type="#_x0000_t32" style="position:absolute;margin-left:76.05pt;margin-top:43.35pt;width:168.45pt;height:.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R3+MAIAAFgEAAAOAAAAZHJzL2Uyb0RvYy54bWysVMFu2zAMvQ/YPwi6J44Tp2uMOEVhJ7t0&#10;a4F2uyuSHAuTRUFS4wTD/n2UkmbtdhmG+SBTpvj4SD55eXPoNdlL5xWYiubjCSXScBDK7Cr65Wkz&#10;uqbEB2YE02BkRY/S05vV+3fLwZZyCh1oIR1BEOPLwVa0C8GWWeZ5J3vmx2ClQWcLrmcBt26XCccG&#10;RO91Np1MrrIBnLAOuPQevzYnJ10l/LaVPNy3rZeB6Ioit5BWl9ZtXLPVkpU7x2yn+JkG+wcWPVMG&#10;k16gGhYYeXbqD6hecQce2jDm0GfQtorLVANWk09+q+axY1amWrA53l7a5P8fLP+8f3BEiYrOKDGs&#10;xxE9BsfUrgvk1jkYSA3GYBvBkVns1mB9iUG1eXCxXn4wj/YO+DdPDNQdMzuZWD8dLULlMSJ7ExI3&#10;3mLO7fAJBJ5hzwFS6w6t60mrlf0aAyM4tocc0qyOl1nJQyAcP07z2WKWzynh6MvzYpZmmbEywsRg&#10;63z4KKEn0aioP1d1KeeUgu3vfIgkfwXEYAMbpXUShzZkqOhiPp0nTh60EtEZj3m329bakT2L8kpP&#10;qhg9r485eDYigXWSifXZDkzpk43JtYl4WBzSOVsn/XxfTBbr6/V1MSqmV+tRMWma0e2mLkZXm/zD&#10;vJk1dd3kPyK1vCg7JYQ0kd2LlvPi77RyvlUnFV7UfGlD9hY99QvJvrwT6TTnONqTSLYgjg/uZf4o&#10;33T4fNXi/Xi9R/v1D2H1EwAA//8DAFBLAwQUAAYACAAAACEA9TAGiN0AAAAJAQAADwAAAGRycy9k&#10;b3ducmV2LnhtbEyPwU7DMBBE70j8g7VI3KjTqk1NiFMhJBAHFKkF7m68JIF4HWI3Sf+e5QTHmX2a&#10;ncl3s+vEiENoPWlYLhIQSJW3LdUa3l4fbxSIEA1Z03lCDWcMsCsuL3KTWT/RHsdDrAWHUMiMhibG&#10;PpMyVA06Exa+R+Lbhx+ciSyHWtrBTBzuOrlKklQ60xJ/aEyPDw1WX4eT0/BN2/P7Wo7qsyxj+vT8&#10;UhOWk9bXV/P9HYiIc/yD4bc+V4eCOx39iWwQHevNasmoBpVuQTCwVrc87siG2oAscvl/QfEDAAD/&#10;/wMAUEsBAi0AFAAGAAgAAAAhALaDOJL+AAAA4QEAABMAAAAAAAAAAAAAAAAAAAAAAFtDb250ZW50&#10;X1R5cGVzXS54bWxQSwECLQAUAAYACAAAACEAOP0h/9YAAACUAQAACwAAAAAAAAAAAAAAAAAvAQAA&#10;X3JlbHMvLnJlbHNQSwECLQAUAAYACAAAACEAoj0d/jACAABYBAAADgAAAAAAAAAAAAAAAAAuAgAA&#10;ZHJzL2Uyb0RvYy54bWxQSwECLQAUAAYACAAAACEA9TAGiN0AAAAJAQAADwAAAAAAAAAAAAAAAACK&#10;BAAAZHJzL2Rvd25yZXYueG1sUEsFBgAAAAAEAAQA8wAAAJQFAAAAAA==&#10;"/>
                  </w:pict>
                </mc:Fallback>
              </mc:AlternateContent>
            </w:r>
            <w:r w:rsidRPr="003C15AE">
              <w:rPr>
                <w:b/>
                <w:bCs/>
                <w:sz w:val="28"/>
                <w:szCs w:val="28"/>
              </w:rPr>
              <w:t>CỘNG HÒA XÃ HỘI CHỦ NGHĨA VIỆT NAM</w:t>
            </w:r>
            <w:r w:rsidRPr="003C15AE">
              <w:rPr>
                <w:b/>
                <w:bCs/>
                <w:sz w:val="28"/>
                <w:szCs w:val="28"/>
              </w:rPr>
              <w:br/>
              <w:t xml:space="preserve">Độc lập - Tự do - Hạnh phúc </w:t>
            </w:r>
          </w:p>
        </w:tc>
      </w:tr>
    </w:tbl>
    <w:p w:rsidR="007822A6" w:rsidRPr="003C15AE" w:rsidRDefault="007822A6" w:rsidP="007822A6">
      <w:pPr>
        <w:spacing w:after="120"/>
        <w:jc w:val="center"/>
        <w:rPr>
          <w:b/>
          <w:bCs/>
        </w:rPr>
      </w:pPr>
      <w:r w:rsidRPr="003C15AE">
        <w:rPr>
          <w:noProof/>
          <w:lang w:eastAsia="en-US"/>
        </w:rPr>
        <mc:AlternateContent>
          <mc:Choice Requires="wps">
            <w:drawing>
              <wp:anchor distT="0" distB="0" distL="114300" distR="114300" simplePos="0" relativeHeight="251663360" behindDoc="0" locked="0" layoutInCell="1" allowOverlap="1">
                <wp:simplePos x="0" y="0"/>
                <wp:positionH relativeFrom="column">
                  <wp:posOffset>445770</wp:posOffset>
                </wp:positionH>
                <wp:positionV relativeFrom="paragraph">
                  <wp:posOffset>88265</wp:posOffset>
                </wp:positionV>
                <wp:extent cx="1112520" cy="304800"/>
                <wp:effectExtent l="0" t="0" r="1143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04800"/>
                        </a:xfrm>
                        <a:prstGeom prst="rect">
                          <a:avLst/>
                        </a:prstGeom>
                        <a:solidFill>
                          <a:srgbClr val="FFFFFF"/>
                        </a:solidFill>
                        <a:ln w="9525">
                          <a:solidFill>
                            <a:srgbClr val="000000"/>
                          </a:solidFill>
                          <a:miter lim="800000"/>
                          <a:headEnd/>
                          <a:tailEnd/>
                        </a:ln>
                      </wps:spPr>
                      <wps:txbx>
                        <w:txbxContent>
                          <w:p w:rsidR="007822A6" w:rsidRPr="00FD1E01" w:rsidRDefault="007822A6" w:rsidP="007822A6">
                            <w:pPr>
                              <w:jc w:val="center"/>
                              <w:rPr>
                                <w:b/>
                                <w:i/>
                                <w:sz w:val="28"/>
                              </w:rPr>
                            </w:pPr>
                            <w:r>
                              <w:rPr>
                                <w:b/>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35.1pt;margin-top:6.95pt;width:87.6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0PIKwIAAFcEAAAOAAAAZHJzL2Uyb0RvYy54bWysVNtu2zAMfR+wfxD0vviyZGuNOEWXLsOA&#10;7gK0+wBZlm1hkqhJSuzu60fJaRp028swPQiSSR2S55BeX01akYNwXoKpabHIKRGGQytNX9Nv97tX&#10;F5T4wEzLFBhR0wfh6dXm5Yv1aCtRwgCqFY4giPHVaGs6hGCrLPN8EJr5BVhh0NiB0yzg1fVZ69iI&#10;6FplZZ6/yUZwrXXAhff49WY20k3C7zrBw5eu8yIQVVPMLaTdpb2Je7ZZs6p3zA6SH9Ng/5CFZtJg&#10;0BPUDQuM7J38DUpL7sBDFxYcdAZdJ7lINWA1Rf6smruBWZFqQXK8PdHk/x8s/3z46ohsa1pSYphG&#10;ie7FFMg7mEgZ2Rmtr9DpzqJbmPAzqpwq9fYW+HdPDGwHZnpx7RyMg2AtZlfEl9nZ0xnHR5Bm/AQt&#10;hmH7AAlo6pyO1CEZBNFRpYeTMjEVHkMWRbkq0cTR9jpfXuRJuoxVj6+t8+GDAE3ioaYOlU/o7HDr&#10;Q8yGVY8uMZgHJdudVCpdXN9slSMHhl2ySysV8MxNGTLW9HJVrmYC/gqRp/UnCC0DtruSuqZYAq7o&#10;xKpI23vTpnNgUs1nTFmZI4+RupnEMDVTEiyRHDluoH1AYh3M3Y3TiIcB3E9KRuzsmvofe+YEJeqj&#10;QXEui+UyjkK6LFdvI63u3NKcW5jhCFXTQMl83IZ5fPbWyX7ASHM7GLhGQTuZuH7K6pg+dm+S4Dhp&#10;cTzO78nr6X+w+QUAAP//AwBQSwMEFAAGAAgAAAAhAGRkdU3fAAAACAEAAA8AAABkcnMvZG93bnJl&#10;di54bWxMj8FOwzAQRO9I/IO1SFxQ6zQNaRPiVAgJRG/QIri68TaJsNfBdtPw95gTHGdnNPO22kxG&#10;sxGd7y0JWMwTYEiNVT21At72j7M1MB8kKaktoYBv9LCpLy8qWSp7plccd6FlsYR8KQV0IQwl577p&#10;0Eg/twNS9I7WGRmidC1XTp5judE8TZKcG9lTXOjkgA8dNp+7kxGwzp7HD79dvrw3+VEX4WY1Pn05&#10;Ia6vpvs7YAGn8BeGX/yIDnVkOtgTKc+0gFWSxmS8Lwtg0U+z2wzYQUC+KIDXFf//QP0DAAD//wMA&#10;UEsBAi0AFAAGAAgAAAAhALaDOJL+AAAA4QEAABMAAAAAAAAAAAAAAAAAAAAAAFtDb250ZW50X1R5&#10;cGVzXS54bWxQSwECLQAUAAYACAAAACEAOP0h/9YAAACUAQAACwAAAAAAAAAAAAAAAAAvAQAAX3Jl&#10;bHMvLnJlbHNQSwECLQAUAAYACAAAACEAcodDyCsCAABXBAAADgAAAAAAAAAAAAAAAAAuAgAAZHJz&#10;L2Uyb0RvYy54bWxQSwECLQAUAAYACAAAACEAZGR1Td8AAAAIAQAADwAAAAAAAAAAAAAAAACFBAAA&#10;ZHJzL2Rvd25yZXYueG1sUEsFBgAAAAAEAAQA8wAAAJEFAAAAAA==&#10;">
                <v:textbox>
                  <w:txbxContent>
                    <w:p w:rsidR="007822A6" w:rsidRPr="00FD1E01" w:rsidRDefault="007822A6" w:rsidP="007822A6">
                      <w:pPr>
                        <w:jc w:val="center"/>
                        <w:rPr>
                          <w:b/>
                          <w:i/>
                          <w:sz w:val="28"/>
                        </w:rPr>
                      </w:pPr>
                      <w:r>
                        <w:rPr>
                          <w:b/>
                          <w:szCs w:val="26"/>
                        </w:rPr>
                        <w:t>DỰ THẢO</w:t>
                      </w:r>
                    </w:p>
                  </w:txbxContent>
                </v:textbox>
              </v:shape>
            </w:pict>
          </mc:Fallback>
        </mc:AlternateContent>
      </w:r>
    </w:p>
    <w:p w:rsidR="007822A6" w:rsidRPr="003C15AE" w:rsidRDefault="007822A6" w:rsidP="007822A6">
      <w:pPr>
        <w:tabs>
          <w:tab w:val="left" w:pos="1392"/>
          <w:tab w:val="center" w:pos="4535"/>
        </w:tabs>
        <w:spacing w:after="120"/>
        <w:rPr>
          <w:b/>
          <w:bCs/>
          <w:sz w:val="28"/>
          <w:szCs w:val="28"/>
        </w:rPr>
      </w:pPr>
      <w:r w:rsidRPr="003C15AE">
        <w:rPr>
          <w:b/>
          <w:bCs/>
          <w:sz w:val="28"/>
          <w:szCs w:val="28"/>
        </w:rPr>
        <w:tab/>
      </w:r>
      <w:r w:rsidRPr="003C15AE">
        <w:rPr>
          <w:b/>
          <w:bCs/>
          <w:sz w:val="28"/>
          <w:szCs w:val="28"/>
        </w:rPr>
        <w:tab/>
      </w:r>
    </w:p>
    <w:p w:rsidR="004A6B18" w:rsidRPr="003C15AE" w:rsidRDefault="004A6B18" w:rsidP="007822A6">
      <w:pPr>
        <w:spacing w:after="0" w:line="240" w:lineRule="auto"/>
        <w:jc w:val="center"/>
        <w:rPr>
          <w:b/>
          <w:sz w:val="28"/>
          <w:szCs w:val="28"/>
        </w:rPr>
      </w:pPr>
      <w:r w:rsidRPr="003C15AE">
        <w:rPr>
          <w:b/>
          <w:sz w:val="28"/>
          <w:szCs w:val="28"/>
        </w:rPr>
        <w:t>QUY ĐỊNH</w:t>
      </w:r>
    </w:p>
    <w:p w:rsidR="004A6B18" w:rsidRPr="003C15AE" w:rsidRDefault="004A6B18" w:rsidP="004A6B18">
      <w:pPr>
        <w:jc w:val="center"/>
        <w:rPr>
          <w:b/>
          <w:sz w:val="28"/>
          <w:szCs w:val="28"/>
        </w:rPr>
      </w:pPr>
      <w:r w:rsidRPr="003C15AE">
        <w:rPr>
          <w:b/>
          <w:sz w:val="28"/>
          <w:szCs w:val="28"/>
        </w:rPr>
        <w:t>Về cơ chế, chính sách khuyến khích phát triển điện mặt trời mái nhà tự sản xuất, tự tiêu thụ và hệ thống lưu trữ điện trên địa bàn tỉnh Đắk Lắk</w:t>
      </w:r>
    </w:p>
    <w:p w:rsidR="004A6B18" w:rsidRPr="003C15AE" w:rsidRDefault="004A6B18" w:rsidP="004A6B18">
      <w:pPr>
        <w:jc w:val="center"/>
        <w:rPr>
          <w:i/>
          <w:sz w:val="28"/>
          <w:szCs w:val="28"/>
        </w:rPr>
      </w:pPr>
      <w:r w:rsidRPr="003C15AE">
        <w:rPr>
          <w:i/>
          <w:sz w:val="28"/>
          <w:szCs w:val="28"/>
        </w:rPr>
        <w:t>(Ban hành kèm th</w:t>
      </w:r>
      <w:r w:rsidR="00503DA0" w:rsidRPr="003C15AE">
        <w:rPr>
          <w:i/>
          <w:sz w:val="28"/>
          <w:szCs w:val="28"/>
        </w:rPr>
        <w:t>eo Quyết định số …/2026/QĐ-UBND)</w:t>
      </w:r>
    </w:p>
    <w:p w:rsidR="00FD6F6C" w:rsidRPr="003C15AE" w:rsidRDefault="00FD6F6C" w:rsidP="00BD1029">
      <w:pPr>
        <w:spacing w:before="120" w:after="0" w:line="240" w:lineRule="auto"/>
        <w:jc w:val="center"/>
        <w:rPr>
          <w:b/>
          <w:sz w:val="28"/>
          <w:szCs w:val="28"/>
        </w:rPr>
      </w:pPr>
      <w:r w:rsidRPr="003C15AE">
        <w:rPr>
          <w:b/>
          <w:sz w:val="28"/>
          <w:szCs w:val="28"/>
        </w:rPr>
        <w:t>Chương I</w:t>
      </w:r>
      <w:r w:rsidRPr="003C15AE">
        <w:rPr>
          <w:b/>
          <w:sz w:val="28"/>
          <w:szCs w:val="28"/>
        </w:rPr>
        <w:br/>
        <w:t>QUY ĐỊNH CHUNG</w:t>
      </w:r>
    </w:p>
    <w:p w:rsidR="00C37059" w:rsidRPr="00C37059" w:rsidRDefault="00C37059" w:rsidP="00C37059">
      <w:pPr>
        <w:spacing w:before="112" w:after="0" w:line="240" w:lineRule="auto"/>
        <w:ind w:firstLine="720"/>
        <w:jc w:val="both"/>
        <w:rPr>
          <w:b/>
          <w:sz w:val="28"/>
          <w:szCs w:val="28"/>
        </w:rPr>
      </w:pPr>
      <w:r w:rsidRPr="00C37059">
        <w:rPr>
          <w:b/>
          <w:sz w:val="28"/>
          <w:szCs w:val="28"/>
        </w:rPr>
        <w:t>Điều 1. Phạm vi điều chỉnh</w:t>
      </w:r>
    </w:p>
    <w:p w:rsidR="00C37059" w:rsidRPr="00C37059" w:rsidRDefault="00C37059" w:rsidP="00C37059">
      <w:pPr>
        <w:spacing w:before="112" w:after="0" w:line="240" w:lineRule="auto"/>
        <w:ind w:firstLine="720"/>
        <w:jc w:val="both"/>
        <w:rPr>
          <w:sz w:val="28"/>
          <w:szCs w:val="28"/>
        </w:rPr>
      </w:pPr>
      <w:r w:rsidRPr="00C37059">
        <w:rPr>
          <w:sz w:val="28"/>
          <w:szCs w:val="28"/>
        </w:rPr>
        <w:t>1. Quy định này quy định nguyên tắc, nội dung khuyến khích và trách nhiệm phối hợp nhằm phát triển điện mặt trời mái nhà tự sản xuất, tự tiêu thụ và hệ thống lưu trữ điện (nếu có) trên địa bàn tỉnh Đắk Lắk; đồng thời quy định việc công khai thông tin về các sản phẩm tín dụng do tổ chức tín dụng cung cấp và kết nối đầu mối để tổ chức, cá nhân tìm hiểu, liên hệ vay vốn.</w:t>
      </w:r>
    </w:p>
    <w:p w:rsidR="00C37059" w:rsidRPr="00C37059" w:rsidRDefault="00C37059" w:rsidP="00C37059">
      <w:pPr>
        <w:spacing w:before="112" w:after="0" w:line="240" w:lineRule="auto"/>
        <w:ind w:firstLine="720"/>
        <w:jc w:val="both"/>
        <w:rPr>
          <w:sz w:val="28"/>
          <w:szCs w:val="28"/>
        </w:rPr>
      </w:pPr>
      <w:r w:rsidRPr="00C37059">
        <w:rPr>
          <w:sz w:val="28"/>
          <w:szCs w:val="28"/>
        </w:rPr>
        <w:t>2. Quy định này không thay thế các thủ tục, điều kiện, yêu cầu kỹ thuật và trình tự thực hiện việc thông báo, đăng ký, đấu nối, vận hành hệ thống, cũng như việc mua bán điện dư đã được quy định tại pháp luật về điện lực và pháp luật có liên quan.</w:t>
      </w:r>
    </w:p>
    <w:p w:rsidR="00C37059" w:rsidRPr="00C37059" w:rsidRDefault="00C37059" w:rsidP="00C37059">
      <w:pPr>
        <w:spacing w:before="112" w:after="0" w:line="240" w:lineRule="auto"/>
        <w:ind w:firstLine="720"/>
        <w:jc w:val="both"/>
        <w:rPr>
          <w:b/>
          <w:sz w:val="28"/>
          <w:szCs w:val="28"/>
        </w:rPr>
      </w:pPr>
      <w:r w:rsidRPr="00C37059">
        <w:rPr>
          <w:b/>
          <w:sz w:val="28"/>
          <w:szCs w:val="28"/>
        </w:rPr>
        <w:t>Điều 2. Đối tượng áp dụng</w:t>
      </w:r>
    </w:p>
    <w:p w:rsidR="00C37059" w:rsidRPr="00C37059" w:rsidRDefault="00C37059" w:rsidP="00C37059">
      <w:pPr>
        <w:spacing w:before="112" w:after="0" w:line="240" w:lineRule="auto"/>
        <w:ind w:firstLine="720"/>
        <w:jc w:val="both"/>
        <w:rPr>
          <w:sz w:val="28"/>
          <w:szCs w:val="28"/>
        </w:rPr>
      </w:pPr>
      <w:r w:rsidRPr="00C37059">
        <w:rPr>
          <w:sz w:val="28"/>
          <w:szCs w:val="28"/>
        </w:rPr>
        <w:t>1. Cơ quan nhà nước, đơn vị sự nghiệp công lập và cơ quan, đơn vị khác thuộc phạm vi quản lý của tỉnh có nhu cầu đầu tư, quản lý hoặc sử dụng hệ thống điện mặt trời mái nhà tự sản xuất, tự tiêu thụ và hệ thống lưu trữ điện.</w:t>
      </w:r>
    </w:p>
    <w:p w:rsidR="00C37059" w:rsidRPr="00C37059" w:rsidRDefault="00C37059" w:rsidP="00C37059">
      <w:pPr>
        <w:spacing w:before="112" w:after="0" w:line="240" w:lineRule="auto"/>
        <w:ind w:firstLine="720"/>
        <w:jc w:val="both"/>
        <w:rPr>
          <w:sz w:val="28"/>
          <w:szCs w:val="28"/>
        </w:rPr>
      </w:pPr>
      <w:r w:rsidRPr="00C37059">
        <w:rPr>
          <w:sz w:val="28"/>
          <w:szCs w:val="28"/>
        </w:rPr>
        <w:t>2. Tổ chức, cá nhân (gồm hộ gia đình; doanh nghiệp, hợp tác xã và tổ chức kinh tế khác; cơ sở sản xuất, kinh doanh, dịch vụ; tổ chức, cá nhân đầu tư, cung cấp dịch vụ, tư vấn, lắp đặt, quản lý, vận hành hệ thống điện mặt trời mái nhà và hệ thống lưu trữ điện) có hoạt động hoặc nhu cầu liên quan trên địa bàn tỉnh.</w:t>
      </w:r>
    </w:p>
    <w:p w:rsidR="00C37059" w:rsidRPr="00C37059" w:rsidRDefault="00C37059" w:rsidP="00C37059">
      <w:pPr>
        <w:spacing w:before="112" w:after="0" w:line="240" w:lineRule="auto"/>
        <w:ind w:firstLine="720"/>
        <w:jc w:val="both"/>
        <w:rPr>
          <w:sz w:val="28"/>
          <w:szCs w:val="28"/>
        </w:rPr>
      </w:pPr>
      <w:r w:rsidRPr="00C37059">
        <w:rPr>
          <w:sz w:val="28"/>
          <w:szCs w:val="28"/>
        </w:rPr>
        <w:t>3. Các sở, ban, ngành; UBND cấp xã; đơn vị điện lực; tổ chức tín dụng và cơ quan, tổ chức, cá nhân có liên quan.</w:t>
      </w:r>
    </w:p>
    <w:p w:rsidR="00C37059" w:rsidRPr="00C37059" w:rsidRDefault="00C37059" w:rsidP="00C37059">
      <w:pPr>
        <w:spacing w:before="112" w:after="0" w:line="240" w:lineRule="auto"/>
        <w:ind w:firstLine="720"/>
        <w:jc w:val="both"/>
        <w:rPr>
          <w:b/>
          <w:sz w:val="28"/>
          <w:szCs w:val="28"/>
        </w:rPr>
      </w:pPr>
      <w:r w:rsidRPr="00C37059">
        <w:rPr>
          <w:b/>
          <w:sz w:val="28"/>
          <w:szCs w:val="28"/>
        </w:rPr>
        <w:t>Điều 3. Nguyên tắc khuyến khích phát triển</w:t>
      </w:r>
    </w:p>
    <w:p w:rsidR="00C37059" w:rsidRPr="00C37059" w:rsidRDefault="00C37059" w:rsidP="00C37059">
      <w:pPr>
        <w:spacing w:before="112" w:after="0" w:line="240" w:lineRule="auto"/>
        <w:ind w:firstLine="720"/>
        <w:jc w:val="both"/>
        <w:rPr>
          <w:sz w:val="28"/>
          <w:szCs w:val="28"/>
        </w:rPr>
      </w:pPr>
      <w:r w:rsidRPr="00C37059">
        <w:rPr>
          <w:sz w:val="28"/>
          <w:szCs w:val="28"/>
        </w:rPr>
        <w:t>1. Khuyến khích lắp đặt hệ thống điện mặt trời mái nhà tự sản xuất, tự tiêu thụ (hệ thống) phù hợp với nhu cầu sử dụng điện tại chỗ, diện tích và tình trạng mái, đặc điểm sử dụng điện theo thời gian, khả năng đấu nối với lưới điện và yêu cầu vận hành an toàn.</w:t>
      </w:r>
    </w:p>
    <w:p w:rsidR="00C37059" w:rsidRPr="00C37059" w:rsidRDefault="00C37059" w:rsidP="00C37059">
      <w:pPr>
        <w:spacing w:before="112" w:after="0" w:line="240" w:lineRule="auto"/>
        <w:ind w:firstLine="720"/>
        <w:jc w:val="both"/>
        <w:rPr>
          <w:sz w:val="28"/>
          <w:szCs w:val="28"/>
        </w:rPr>
      </w:pPr>
      <w:r w:rsidRPr="00C37059">
        <w:rPr>
          <w:sz w:val="28"/>
          <w:szCs w:val="28"/>
        </w:rPr>
        <w:lastRenderedPageBreak/>
        <w:t>2. Việc đầu tư, lắp đặt và vận hành hệ thống phải tuân thủ quy định pháp luật về điện lực, đầu tư, xây dựng, quy hoạch, đất đai, quản lý và sử dụng tài sản công, bảo vệ môi trường, an toàn điện, phòng cháy và chữa cháy, tiêu chuẩn, quy chuẩn kỹ thuật và các quy định pháp luật có liên quan.</w:t>
      </w:r>
    </w:p>
    <w:p w:rsidR="00C37059" w:rsidRPr="00C37059" w:rsidRDefault="00C37059" w:rsidP="00C37059">
      <w:pPr>
        <w:spacing w:before="112" w:after="0" w:line="240" w:lineRule="auto"/>
        <w:ind w:firstLine="720"/>
        <w:jc w:val="both"/>
        <w:rPr>
          <w:sz w:val="28"/>
          <w:szCs w:val="28"/>
        </w:rPr>
      </w:pPr>
      <w:r w:rsidRPr="00C37059">
        <w:rPr>
          <w:sz w:val="28"/>
          <w:szCs w:val="28"/>
        </w:rPr>
        <w:t>3. Việc khuyến khích phát triển phải bảo đảm công khai, minh bạch, bình đẳng giữa các đối tượng quy định tại Điều 2; không gây cản trở trái pháp luật đối với hoạt động đầu tư, lắp đặt và sử dụng hệ thống hợp pháp.</w:t>
      </w:r>
    </w:p>
    <w:p w:rsidR="00C37059" w:rsidRPr="00C37059" w:rsidRDefault="00C37059" w:rsidP="00C37059">
      <w:pPr>
        <w:spacing w:before="112" w:after="0" w:line="240" w:lineRule="auto"/>
        <w:ind w:firstLine="720"/>
        <w:jc w:val="both"/>
        <w:rPr>
          <w:sz w:val="28"/>
          <w:szCs w:val="28"/>
        </w:rPr>
      </w:pPr>
      <w:r w:rsidRPr="00C37059">
        <w:rPr>
          <w:sz w:val="28"/>
          <w:szCs w:val="28"/>
        </w:rPr>
        <w:t>4. Khuyến khích lắp đặt hệ thống lưu trữ điện khi phù hợp với nhu cầu sử dụng, hiệu quả kinh tế - kỹ thuật và yêu cầu an toàn.</w:t>
      </w:r>
    </w:p>
    <w:p w:rsidR="00C37059" w:rsidRPr="00C37059" w:rsidRDefault="00C37059" w:rsidP="00C37059">
      <w:pPr>
        <w:spacing w:before="112" w:after="0" w:line="240" w:lineRule="auto"/>
        <w:ind w:firstLine="720"/>
        <w:jc w:val="both"/>
        <w:rPr>
          <w:sz w:val="28"/>
          <w:szCs w:val="28"/>
        </w:rPr>
      </w:pPr>
      <w:r w:rsidRPr="00C37059">
        <w:rPr>
          <w:sz w:val="28"/>
          <w:szCs w:val="28"/>
        </w:rPr>
        <w:t>5. Việc khuyến khích theo Quy định này không làm phát sinh thủ tục hành chính, điều kiện đầu tư kinh doanh hoặc nghĩa vụ tài chính ngoài quy định pháp luật; không làm phát sinh cam kết hỗ trợ từ ngân sách nhà nước khi chưa có căn cứ pháp lý và quyết định của cấp có thẩm quyền.</w:t>
      </w:r>
    </w:p>
    <w:p w:rsidR="00C37059" w:rsidRPr="00C37059" w:rsidRDefault="00C37059" w:rsidP="00C37059">
      <w:pPr>
        <w:spacing w:before="112" w:after="0" w:line="240" w:lineRule="auto"/>
        <w:jc w:val="center"/>
        <w:rPr>
          <w:b/>
          <w:sz w:val="28"/>
          <w:szCs w:val="28"/>
        </w:rPr>
      </w:pPr>
      <w:r w:rsidRPr="00C37059">
        <w:rPr>
          <w:b/>
          <w:sz w:val="28"/>
          <w:szCs w:val="28"/>
        </w:rPr>
        <w:t>Chương II</w:t>
      </w:r>
      <w:r w:rsidRPr="00C37059">
        <w:rPr>
          <w:b/>
          <w:sz w:val="28"/>
          <w:szCs w:val="28"/>
        </w:rPr>
        <w:br/>
        <w:t>CƠ CHẾ, CHÍNH SÁCH KHUYẾN KHÍCH</w:t>
      </w:r>
    </w:p>
    <w:p w:rsidR="00C37059" w:rsidRPr="00C37059" w:rsidRDefault="00C37059" w:rsidP="00C37059">
      <w:pPr>
        <w:spacing w:before="112" w:after="0" w:line="240" w:lineRule="auto"/>
        <w:ind w:firstLine="720"/>
        <w:jc w:val="both"/>
        <w:rPr>
          <w:b/>
          <w:sz w:val="28"/>
          <w:szCs w:val="28"/>
        </w:rPr>
      </w:pPr>
      <w:r w:rsidRPr="00C37059">
        <w:rPr>
          <w:b/>
          <w:sz w:val="28"/>
          <w:szCs w:val="28"/>
        </w:rPr>
        <w:t>Điều 4. Khuyến khích phát triển điện mặt trời mái nhà tại công trình thuộc sở hữu nhà nước</w:t>
      </w:r>
    </w:p>
    <w:p w:rsidR="00C37059" w:rsidRPr="00C37059" w:rsidRDefault="00C37059" w:rsidP="00C37059">
      <w:pPr>
        <w:spacing w:before="112" w:after="0" w:line="240" w:lineRule="auto"/>
        <w:ind w:firstLine="720"/>
        <w:jc w:val="both"/>
        <w:rPr>
          <w:sz w:val="28"/>
          <w:szCs w:val="28"/>
        </w:rPr>
      </w:pPr>
      <w:r w:rsidRPr="00C37059">
        <w:rPr>
          <w:sz w:val="28"/>
          <w:szCs w:val="28"/>
        </w:rPr>
        <w:t>1. Khuyến khích ưu tiên xem xét lắp đặt tại công trình thuộc sở hữu nhà nước có nhu cầu sử dụng điện ổn định vào ban ngày, mái đáp ứng yêu cầu kỹ thuật, có khả năng đấu nối và sử dụng tại chỗ phần lớn lượng điện tạo ra.</w:t>
      </w:r>
    </w:p>
    <w:p w:rsidR="00C37059" w:rsidRPr="00C37059" w:rsidRDefault="00C37059" w:rsidP="00C37059">
      <w:pPr>
        <w:spacing w:before="112" w:after="0" w:line="240" w:lineRule="auto"/>
        <w:ind w:firstLine="720"/>
        <w:jc w:val="both"/>
        <w:rPr>
          <w:sz w:val="28"/>
          <w:szCs w:val="28"/>
        </w:rPr>
      </w:pPr>
      <w:r w:rsidRPr="00C37059">
        <w:rPr>
          <w:sz w:val="28"/>
          <w:szCs w:val="28"/>
        </w:rPr>
        <w:t>2. Cơ quan, đơn vị lập danh mục công trình dự kiến triển khai trên cơ sở rà soát theo Điều 14 của Quy định này; trong danh mục, nêu rõ nhu cầu sử dụng điện, hiện trạng mái, điều kiện kỹ thuật, khả năng đấu nối và dự kiến phương án đầu tư.</w:t>
      </w:r>
    </w:p>
    <w:p w:rsidR="00C37059" w:rsidRPr="00C37059" w:rsidRDefault="00C37059" w:rsidP="00C37059">
      <w:pPr>
        <w:spacing w:before="112" w:after="0" w:line="240" w:lineRule="auto"/>
        <w:ind w:firstLine="720"/>
        <w:jc w:val="both"/>
        <w:rPr>
          <w:sz w:val="28"/>
          <w:szCs w:val="28"/>
        </w:rPr>
      </w:pPr>
      <w:r w:rsidRPr="00C37059">
        <w:rPr>
          <w:sz w:val="28"/>
          <w:szCs w:val="28"/>
        </w:rPr>
        <w:t>3. Việc đầu tư, mua sắm, thuê dịch vụ hoặc hợp tác đầu tư tại công trình thuộc sở hữu nhà nước phải được xem xét, quyết định riêng theo quy định pháp luật về đầu tư công, ngân sách nhà nước, đấu thầu, quản lý và sử dụng tài sản công, xây dựng và pháp luật có liên quan.</w:t>
      </w:r>
    </w:p>
    <w:p w:rsidR="00C37059" w:rsidRPr="00C37059" w:rsidRDefault="00C37059" w:rsidP="00C37059">
      <w:pPr>
        <w:spacing w:before="112" w:after="0" w:line="240" w:lineRule="auto"/>
        <w:ind w:firstLine="720"/>
        <w:jc w:val="both"/>
        <w:rPr>
          <w:sz w:val="28"/>
          <w:szCs w:val="28"/>
        </w:rPr>
      </w:pPr>
      <w:r w:rsidRPr="00C37059">
        <w:rPr>
          <w:sz w:val="28"/>
          <w:szCs w:val="28"/>
        </w:rPr>
        <w:t>4. Khuyến khích lắp đặt hệ thống lưu trữ điện khi phù hợp với nhu cầu sử dụng, an toàn và hiệu quả kinh tế - kỹ thuật.</w:t>
      </w:r>
    </w:p>
    <w:p w:rsidR="00C37059" w:rsidRPr="00C37059" w:rsidRDefault="00C37059" w:rsidP="00C37059">
      <w:pPr>
        <w:spacing w:before="112" w:after="0" w:line="240" w:lineRule="auto"/>
        <w:ind w:firstLine="720"/>
        <w:jc w:val="both"/>
        <w:rPr>
          <w:sz w:val="28"/>
          <w:szCs w:val="28"/>
        </w:rPr>
      </w:pPr>
      <w:r w:rsidRPr="00C37059">
        <w:rPr>
          <w:sz w:val="28"/>
          <w:szCs w:val="28"/>
        </w:rPr>
        <w:t>5. Cơ quan, đơn vị có hệ thống điện mặt trời mái nhà cần lập kế hoạch kiểm tra, vệ sinh, bảo dưỡng và sửa chữa khi cần thiết để hệ thống hoạt động an toàn, ổn định.</w:t>
      </w:r>
    </w:p>
    <w:p w:rsidR="00C37059" w:rsidRPr="00C37059" w:rsidRDefault="00C37059" w:rsidP="00C37059">
      <w:pPr>
        <w:spacing w:before="112" w:after="0" w:line="240" w:lineRule="auto"/>
        <w:ind w:firstLine="720"/>
        <w:jc w:val="both"/>
        <w:rPr>
          <w:sz w:val="28"/>
          <w:szCs w:val="28"/>
        </w:rPr>
      </w:pPr>
      <w:r w:rsidRPr="00C37059">
        <w:rPr>
          <w:sz w:val="28"/>
          <w:szCs w:val="28"/>
        </w:rPr>
        <w:t>6. Khuyến khích cơ quan, đơn vị theo dõi, lưu giữ số liệu về sản lượng điện hệ thống tạo ra, lượng điện sử dụng tại chỗ, lượng điện mua từ lưới và chi phí tiền điện trước, sau khi lắp đặt để đánh giá hiệu quả thực tế của hệ thống và làm căn cứ xây dựng dự toán kinh phí vận hành, bảo dưỡng theo quy định.</w:t>
      </w:r>
    </w:p>
    <w:p w:rsidR="00C37059" w:rsidRPr="00C37059" w:rsidRDefault="00C37059" w:rsidP="00C37059">
      <w:pPr>
        <w:spacing w:before="112" w:after="0" w:line="240" w:lineRule="auto"/>
        <w:ind w:firstLine="720"/>
        <w:jc w:val="both"/>
        <w:rPr>
          <w:b/>
          <w:sz w:val="28"/>
          <w:szCs w:val="28"/>
        </w:rPr>
      </w:pPr>
      <w:r w:rsidRPr="00C37059">
        <w:rPr>
          <w:b/>
          <w:sz w:val="28"/>
          <w:szCs w:val="28"/>
        </w:rPr>
        <w:lastRenderedPageBreak/>
        <w:t>Điều 5. Khuyến khích đối với hộ gia đình, tổ chức và cơ sở sản xuất, kinh doanh, dịch vụ</w:t>
      </w:r>
    </w:p>
    <w:p w:rsidR="00C37059" w:rsidRPr="00C37059" w:rsidRDefault="00C37059" w:rsidP="00C37059">
      <w:pPr>
        <w:spacing w:before="112" w:after="0" w:line="240" w:lineRule="auto"/>
        <w:ind w:firstLine="720"/>
        <w:jc w:val="both"/>
        <w:rPr>
          <w:sz w:val="28"/>
          <w:szCs w:val="28"/>
        </w:rPr>
      </w:pPr>
      <w:r w:rsidRPr="00C37059">
        <w:rPr>
          <w:sz w:val="28"/>
          <w:szCs w:val="28"/>
        </w:rPr>
        <w:t>1. Khuyến khích tổ chức, cá nhân lựa chọn công suất hệ thống căn cứ vào nhu cầu sử dụng điện thực tế, thời điểm sử dụng điện và điều kiện mái lắp đặt, nhằm tăng tỷ lệ điện sử dụng tại chỗ.</w:t>
      </w:r>
    </w:p>
    <w:p w:rsidR="00C37059" w:rsidRPr="00C37059" w:rsidRDefault="00C37059" w:rsidP="00C37059">
      <w:pPr>
        <w:spacing w:before="112" w:after="0" w:line="240" w:lineRule="auto"/>
        <w:ind w:firstLine="720"/>
        <w:jc w:val="both"/>
        <w:rPr>
          <w:sz w:val="28"/>
          <w:szCs w:val="28"/>
        </w:rPr>
      </w:pPr>
      <w:r w:rsidRPr="00C37059">
        <w:rPr>
          <w:sz w:val="28"/>
          <w:szCs w:val="28"/>
        </w:rPr>
        <w:t>2. Trước khi đầu tư, khuyến khích tổ chức, cá nhân rà soát nhu cầu sử dụng điện theo thời gian trong ngày, lựa chọn thiết bị phù hợp và bố trí sử dụng các thiết bị điện vào thời điểm có điện mặt trời khi đáp ứng nhu cầu thực tế. Chỉ xem xét kết hợp hệ thống lưu trữ điện khi giải pháp phù hợp về kỹ thuật, an toàn và hiệu quả kinh tế.</w:t>
      </w:r>
    </w:p>
    <w:p w:rsidR="00C37059" w:rsidRPr="00C37059" w:rsidRDefault="00C37059" w:rsidP="00C37059">
      <w:pPr>
        <w:spacing w:before="112" w:after="0" w:line="240" w:lineRule="auto"/>
        <w:ind w:firstLine="720"/>
        <w:jc w:val="both"/>
        <w:rPr>
          <w:sz w:val="28"/>
          <w:szCs w:val="28"/>
        </w:rPr>
      </w:pPr>
      <w:r w:rsidRPr="00C37059">
        <w:rPr>
          <w:sz w:val="28"/>
          <w:szCs w:val="28"/>
        </w:rPr>
        <w:t>3. Tổ chức, cá nhân chịu trách nhiệm lựa chọn thiết bị phù hợp; bảo đảm an toàn điện, phòng cháy và chữa cháy, bảo vệ môi trường; đồng thời thực hiện các thủ tục về điện lực theo quy định.</w:t>
      </w:r>
    </w:p>
    <w:p w:rsidR="00C37059" w:rsidRPr="00C37059" w:rsidRDefault="00C37059" w:rsidP="00C37059">
      <w:pPr>
        <w:spacing w:before="112" w:after="0" w:line="240" w:lineRule="auto"/>
        <w:ind w:firstLine="720"/>
        <w:jc w:val="both"/>
        <w:rPr>
          <w:b/>
          <w:sz w:val="28"/>
          <w:szCs w:val="28"/>
        </w:rPr>
      </w:pPr>
      <w:r w:rsidRPr="00C37059">
        <w:rPr>
          <w:b/>
          <w:sz w:val="28"/>
          <w:szCs w:val="28"/>
        </w:rPr>
        <w:t>Điều 6. Khuyến khích hệ thống lưu trữ điện</w:t>
      </w:r>
    </w:p>
    <w:p w:rsidR="00C37059" w:rsidRPr="00C37059" w:rsidRDefault="00C37059" w:rsidP="00C37059">
      <w:pPr>
        <w:spacing w:before="112" w:after="0" w:line="240" w:lineRule="auto"/>
        <w:ind w:firstLine="720"/>
        <w:jc w:val="both"/>
        <w:rPr>
          <w:sz w:val="28"/>
          <w:szCs w:val="28"/>
        </w:rPr>
      </w:pPr>
      <w:r w:rsidRPr="00C37059">
        <w:rPr>
          <w:sz w:val="28"/>
          <w:szCs w:val="28"/>
        </w:rPr>
        <w:t>1. Khuyến khích kết hợp hệ thống lưu trữ điện với hệ thống điện mặt trời mái nhà khi việc lưu trữ giúp sử dụng được nhiều điện mặt trời hơn tại chỗ, điều chỉnh thời điểm sử dụng điện hoặc dự phòng điện phù hợp với nhu cầu thực tế.</w:t>
      </w:r>
    </w:p>
    <w:p w:rsidR="00C37059" w:rsidRPr="00C37059" w:rsidRDefault="00C37059" w:rsidP="00C37059">
      <w:pPr>
        <w:spacing w:before="112" w:after="0" w:line="240" w:lineRule="auto"/>
        <w:ind w:firstLine="720"/>
        <w:jc w:val="both"/>
        <w:rPr>
          <w:sz w:val="28"/>
          <w:szCs w:val="28"/>
        </w:rPr>
      </w:pPr>
      <w:r w:rsidRPr="00C37059">
        <w:rPr>
          <w:sz w:val="28"/>
          <w:szCs w:val="28"/>
        </w:rPr>
        <w:t>2. Khi lựa chọn hệ thống lưu trữ điện, cần xem xét dung lượng, công nghệ, vị trí lắp đặt và cách vận hành phù hợp với nhu cầu sử dụng; tuân thủ yêu cầu kỹ thuật, an toàn điện, phòng cháy và chữa cháy, bảo vệ môi trường và hướng dẫn của nhà sản xuất.</w:t>
      </w:r>
    </w:p>
    <w:p w:rsidR="00C37059" w:rsidRPr="00C37059" w:rsidRDefault="00C37059" w:rsidP="00C37059">
      <w:pPr>
        <w:spacing w:before="112" w:after="0" w:line="240" w:lineRule="auto"/>
        <w:ind w:firstLine="720"/>
        <w:jc w:val="both"/>
        <w:rPr>
          <w:sz w:val="28"/>
          <w:szCs w:val="28"/>
        </w:rPr>
      </w:pPr>
      <w:r w:rsidRPr="00C37059">
        <w:rPr>
          <w:sz w:val="28"/>
          <w:szCs w:val="28"/>
        </w:rPr>
        <w:t>3. Việc lắp đặt, đấu nối và vận hành hệ thống lưu trữ điện; việc đấu nối hệ thống điện mặt trời mái nhà và mua bán điện dư (nếu có) phải tuân thủ pháp luật về điện lực và pháp luật có liên quan.</w:t>
      </w:r>
    </w:p>
    <w:p w:rsidR="00C37059" w:rsidRPr="00C37059" w:rsidRDefault="00C37059" w:rsidP="00C37059">
      <w:pPr>
        <w:spacing w:before="112" w:after="0" w:line="240" w:lineRule="auto"/>
        <w:ind w:firstLine="720"/>
        <w:jc w:val="both"/>
        <w:rPr>
          <w:b/>
          <w:sz w:val="28"/>
          <w:szCs w:val="28"/>
        </w:rPr>
      </w:pPr>
      <w:r w:rsidRPr="00C37059">
        <w:rPr>
          <w:b/>
          <w:sz w:val="28"/>
          <w:szCs w:val="28"/>
        </w:rPr>
        <w:t>Điều 7. Khuyến khích huy động nguồn lực hợp pháp</w:t>
      </w:r>
    </w:p>
    <w:p w:rsidR="00C37059" w:rsidRPr="00C37059" w:rsidRDefault="00C37059" w:rsidP="00C37059">
      <w:pPr>
        <w:spacing w:before="112" w:after="0" w:line="240" w:lineRule="auto"/>
        <w:ind w:firstLine="720"/>
        <w:jc w:val="both"/>
        <w:rPr>
          <w:sz w:val="28"/>
          <w:szCs w:val="28"/>
        </w:rPr>
      </w:pPr>
      <w:r w:rsidRPr="00C37059">
        <w:rPr>
          <w:sz w:val="28"/>
          <w:szCs w:val="28"/>
        </w:rPr>
        <w:t>1. Khuyến khích tổ chức, cá nhân, doanh nghiệp dịch vụ năng lượng, đơn vị tư vấn và nhà đầu tư tham gia khảo sát, tư vấn, cung cấp thiết bị, lắp đặt, vận hành hoặc hợp tác đầu tư hệ thống theo quy định pháp luật.</w:t>
      </w:r>
    </w:p>
    <w:p w:rsidR="00C37059" w:rsidRPr="00C37059" w:rsidRDefault="00C37059" w:rsidP="00C37059">
      <w:pPr>
        <w:spacing w:before="112" w:after="0" w:line="240" w:lineRule="auto"/>
        <w:ind w:firstLine="720"/>
        <w:jc w:val="both"/>
        <w:rPr>
          <w:sz w:val="28"/>
          <w:szCs w:val="28"/>
        </w:rPr>
      </w:pPr>
      <w:r w:rsidRPr="00C37059">
        <w:rPr>
          <w:sz w:val="28"/>
          <w:szCs w:val="28"/>
        </w:rPr>
        <w:t>2. Đối với công trình thuộc sở hữu nhà nước, khuyến khích xem xét thuê đơn vị cung cấp dịch vụ kiểm tra, vệ sinh, bảo dưỡng, sửa chữa hoặc vận hành hệ thống khi phương án thuê phù hợp và có hiệu quả. Việc lựa chọn đơn vị cung cấp dịch vụ và bố trí kinh phí phải đúng thẩm quyền, trình tự, thủ tục theo quy định.</w:t>
      </w:r>
    </w:p>
    <w:p w:rsidR="00C37059" w:rsidRPr="00C37059" w:rsidRDefault="00C37059" w:rsidP="00C37059">
      <w:pPr>
        <w:spacing w:before="112" w:after="0" w:line="240" w:lineRule="auto"/>
        <w:ind w:firstLine="720"/>
        <w:jc w:val="both"/>
        <w:rPr>
          <w:sz w:val="28"/>
          <w:szCs w:val="28"/>
        </w:rPr>
      </w:pPr>
      <w:r w:rsidRPr="00C37059">
        <w:rPr>
          <w:sz w:val="28"/>
          <w:szCs w:val="28"/>
        </w:rPr>
        <w:t>3. Việc hợp tác đầu tư, thuê dịch vụ, thuê thiết bị hoặc chuyển giao tài sản tại công trình thuộc sở hữu nhà nước chỉ được thực hiện khi có căn cứ pháp lý và phương án được cấp có thẩm quyền phê duyệt. Phương án phải xác định rõ trách nhiệm của các bên, chi phí, cách quản lý và xử lý tài sản.</w:t>
      </w:r>
    </w:p>
    <w:p w:rsidR="00C37059" w:rsidRPr="00C37059" w:rsidRDefault="00C37059" w:rsidP="00C37059">
      <w:pPr>
        <w:spacing w:before="112" w:after="0" w:line="240" w:lineRule="auto"/>
        <w:ind w:firstLine="720"/>
        <w:jc w:val="both"/>
        <w:rPr>
          <w:sz w:val="28"/>
          <w:szCs w:val="28"/>
        </w:rPr>
      </w:pPr>
      <w:r w:rsidRPr="00C37059">
        <w:rPr>
          <w:sz w:val="28"/>
          <w:szCs w:val="28"/>
        </w:rPr>
        <w:lastRenderedPageBreak/>
        <w:t>4. Khuyến khích hỗ trợ tổ chức, cá nhân tiếp cận nguồn vốn vay thông qua việc công khai thông tin về các sản phẩm tín dụng phù hợp và kết nối với tổ chức tín dụng. Việc cho vay, thẩm định hồ sơ và quyết định cấp tín dụng thuộc thẩm quyền của tổ chức tín dụng theo quy định pháp luật.</w:t>
      </w:r>
    </w:p>
    <w:p w:rsidR="00C37059" w:rsidRPr="00C37059" w:rsidRDefault="00C37059" w:rsidP="00C37059">
      <w:pPr>
        <w:spacing w:before="112" w:after="0" w:line="240" w:lineRule="auto"/>
        <w:jc w:val="center"/>
        <w:rPr>
          <w:b/>
          <w:sz w:val="28"/>
          <w:szCs w:val="28"/>
        </w:rPr>
      </w:pPr>
      <w:r w:rsidRPr="00C37059">
        <w:rPr>
          <w:b/>
          <w:sz w:val="28"/>
          <w:szCs w:val="28"/>
        </w:rPr>
        <w:t>Chương III</w:t>
      </w:r>
      <w:r w:rsidRPr="00C37059">
        <w:rPr>
          <w:b/>
          <w:sz w:val="28"/>
          <w:szCs w:val="28"/>
        </w:rPr>
        <w:br/>
        <w:t>TỔ CHỨC THỰC HIỆN</w:t>
      </w:r>
    </w:p>
    <w:p w:rsidR="00C37059" w:rsidRPr="00C37059" w:rsidRDefault="00C37059" w:rsidP="00C37059">
      <w:pPr>
        <w:spacing w:before="112" w:after="0" w:line="240" w:lineRule="auto"/>
        <w:ind w:firstLine="720"/>
        <w:jc w:val="both"/>
        <w:rPr>
          <w:b/>
          <w:sz w:val="28"/>
          <w:szCs w:val="28"/>
        </w:rPr>
      </w:pPr>
      <w:r w:rsidRPr="00C37059">
        <w:rPr>
          <w:b/>
          <w:sz w:val="28"/>
          <w:szCs w:val="28"/>
        </w:rPr>
        <w:t>Điều 8. Trách nhiệm của Sở Công Thương</w:t>
      </w:r>
    </w:p>
    <w:p w:rsidR="00C37059" w:rsidRPr="00C37059" w:rsidRDefault="00C37059" w:rsidP="00C37059">
      <w:pPr>
        <w:spacing w:before="112" w:after="0" w:line="240" w:lineRule="auto"/>
        <w:ind w:firstLine="720"/>
        <w:jc w:val="both"/>
        <w:rPr>
          <w:sz w:val="28"/>
          <w:szCs w:val="28"/>
        </w:rPr>
      </w:pPr>
      <w:r w:rsidRPr="00C37059">
        <w:rPr>
          <w:sz w:val="28"/>
          <w:szCs w:val="28"/>
        </w:rPr>
        <w:t>1. Làm đầu mối tham mưu UBND tỉnh tổ chức triển khai Quy định này; theo dõi, đôn đốc và tổng hợp tình hình phát triển điện mặt trời mái nhà tự sản xuất, tự tiêu thụ và hệ thống lưu trữ điện trên địa bàn tỉnh.</w:t>
      </w:r>
    </w:p>
    <w:p w:rsidR="00C37059" w:rsidRPr="00C37059" w:rsidRDefault="00C37059" w:rsidP="00C37059">
      <w:pPr>
        <w:spacing w:before="112" w:after="0" w:line="240" w:lineRule="auto"/>
        <w:ind w:firstLine="720"/>
        <w:jc w:val="both"/>
        <w:rPr>
          <w:sz w:val="28"/>
          <w:szCs w:val="28"/>
        </w:rPr>
      </w:pPr>
      <w:r w:rsidRPr="00C37059">
        <w:rPr>
          <w:sz w:val="28"/>
          <w:szCs w:val="28"/>
        </w:rPr>
        <w:t>2. Hướng dẫn tổ chức, cá nhân thực hiện các quy định thuộc lĩnh vực điện lực; giải thích, hướng dẫn việc thực hiện thông báo, đăng ký phát triển, đấu nối, vận hành và mua bán điện dư theo phạm vi chức năng, nhiệm vụ được giao.</w:t>
      </w:r>
    </w:p>
    <w:p w:rsidR="00C37059" w:rsidRPr="00C37059" w:rsidRDefault="00C37059" w:rsidP="00C37059">
      <w:pPr>
        <w:spacing w:before="112" w:after="0" w:line="240" w:lineRule="auto"/>
        <w:ind w:firstLine="720"/>
        <w:jc w:val="both"/>
        <w:rPr>
          <w:sz w:val="28"/>
          <w:szCs w:val="28"/>
        </w:rPr>
      </w:pPr>
      <w:r w:rsidRPr="00C37059">
        <w:rPr>
          <w:sz w:val="28"/>
          <w:szCs w:val="28"/>
        </w:rPr>
        <w:t>3. Phối hợp với đơn vị điện lực và chính quyền địa phương theo dõi tình hình lắp đặt, sử dụng hệ thống, khả năng tiếp nhận của lưới điện và nhu cầu sử dụng điện tại chỗ trên địa bàn tỉnh.</w:t>
      </w:r>
    </w:p>
    <w:p w:rsidR="00C37059" w:rsidRPr="00C37059" w:rsidRDefault="00C37059" w:rsidP="00C37059">
      <w:pPr>
        <w:spacing w:before="112" w:after="0" w:line="240" w:lineRule="auto"/>
        <w:ind w:firstLine="720"/>
        <w:jc w:val="both"/>
        <w:rPr>
          <w:sz w:val="28"/>
          <w:szCs w:val="28"/>
        </w:rPr>
      </w:pPr>
      <w:r w:rsidRPr="00C37059">
        <w:rPr>
          <w:sz w:val="28"/>
          <w:szCs w:val="28"/>
        </w:rPr>
        <w:t>4. Phối hợp với Ngân hàng Nhà nước Chi nhánh Khu vực 11 cập nhật, công khai thông tin do các tổ chức tín dụng cung cấp về sản phẩm cho vay có thể áp dụng đối với điện mặt trời mái nhà và hệ thống lưu trữ điện, gồm đối tượng vay, mục đích vay, điều kiện vay, lãi suất, hạn mức, thời hạn và yêu cầu bảo đảm tiền vay.</w:t>
      </w:r>
    </w:p>
    <w:p w:rsidR="00C37059" w:rsidRPr="00C37059" w:rsidRDefault="00C37059" w:rsidP="00C37059">
      <w:pPr>
        <w:spacing w:before="112" w:after="0" w:line="240" w:lineRule="auto"/>
        <w:ind w:firstLine="720"/>
        <w:jc w:val="both"/>
        <w:rPr>
          <w:b/>
          <w:sz w:val="28"/>
          <w:szCs w:val="28"/>
        </w:rPr>
      </w:pPr>
      <w:r w:rsidRPr="00C37059">
        <w:rPr>
          <w:b/>
          <w:sz w:val="28"/>
          <w:szCs w:val="28"/>
        </w:rPr>
        <w:t>Điều 9. Trách nhiệm của Ngân hàng Nhà nước Chi nhánh Khu vực 11</w:t>
      </w:r>
    </w:p>
    <w:p w:rsidR="00C37059" w:rsidRPr="00C37059" w:rsidRDefault="00C37059" w:rsidP="00C37059">
      <w:pPr>
        <w:spacing w:before="112" w:after="0" w:line="240" w:lineRule="auto"/>
        <w:ind w:firstLine="720"/>
        <w:jc w:val="both"/>
        <w:rPr>
          <w:b/>
          <w:sz w:val="28"/>
          <w:szCs w:val="28"/>
        </w:rPr>
      </w:pPr>
      <w:r w:rsidRPr="00C37059">
        <w:rPr>
          <w:sz w:val="28"/>
          <w:szCs w:val="28"/>
        </w:rPr>
        <w:t>1. Phối hợp với Sở Công Thương cập nhật thông tin về các chương trình, chính sách tín dụng và sản phẩm cho vay của các tổ chức tín dụng có thể áp dụng đối với việc đầu tư điện mặt trời mái nhà tự sản xuất, tự tiêu thụ và hệ thống lưu trữ điện, trên cơ sở thông tin do các tổ chức tín dụng cung cấp.</w:t>
      </w:r>
    </w:p>
    <w:p w:rsidR="00C37059" w:rsidRPr="00C37059" w:rsidRDefault="00C37059" w:rsidP="00C37059">
      <w:pPr>
        <w:spacing w:before="112" w:after="0" w:line="240" w:lineRule="auto"/>
        <w:ind w:firstLine="720"/>
        <w:jc w:val="both"/>
        <w:rPr>
          <w:b/>
          <w:sz w:val="28"/>
          <w:szCs w:val="28"/>
        </w:rPr>
      </w:pPr>
      <w:r w:rsidRPr="00C37059">
        <w:rPr>
          <w:sz w:val="28"/>
          <w:szCs w:val="28"/>
        </w:rPr>
        <w:t>2. Phối hợp với các tổ chức tín dụng cung cấp thông tin về đầu mối liên hệ để tổ chức, cá nhân có nhu cầu tìm hiểu, trao đổi trực tiếp về điều kiện vay vốn và hồ sơ vay vốn theo quy định. Việc thẩm định hồ sơ và quyết định cấp tín dụng thuộc thẩm quyền của tổ chức tín dụng theo quy định pháp luật.</w:t>
      </w:r>
    </w:p>
    <w:p w:rsidR="00C37059" w:rsidRPr="00C37059" w:rsidRDefault="00C37059" w:rsidP="00C37059">
      <w:pPr>
        <w:spacing w:before="112" w:after="0" w:line="240" w:lineRule="auto"/>
        <w:ind w:firstLine="720"/>
        <w:jc w:val="both"/>
        <w:rPr>
          <w:b/>
          <w:sz w:val="28"/>
          <w:szCs w:val="28"/>
        </w:rPr>
      </w:pPr>
      <w:r w:rsidRPr="00C37059">
        <w:rPr>
          <w:b/>
          <w:sz w:val="28"/>
          <w:szCs w:val="28"/>
        </w:rPr>
        <w:t>Điều 10. Trách nhiệm của Sở Tài chính</w:t>
      </w:r>
    </w:p>
    <w:p w:rsidR="00C37059" w:rsidRPr="00C37059" w:rsidRDefault="00C37059" w:rsidP="00C37059">
      <w:pPr>
        <w:spacing w:before="112" w:after="0" w:line="240" w:lineRule="auto"/>
        <w:ind w:firstLine="720"/>
        <w:jc w:val="both"/>
        <w:rPr>
          <w:sz w:val="28"/>
          <w:szCs w:val="28"/>
        </w:rPr>
      </w:pPr>
      <w:r w:rsidRPr="00C37059">
        <w:rPr>
          <w:sz w:val="28"/>
          <w:szCs w:val="28"/>
        </w:rPr>
        <w:t>1. Phối hợp rà soát, hướng dẫn các nội dung liên quan đến ngân sách nhà nước, đầu tư công, đấu thầu và quản lý, sử dụng tài sản công theo chức năng, nhiệm vụ và thẩm quyền được giao.</w:t>
      </w:r>
    </w:p>
    <w:p w:rsidR="00C37059" w:rsidRPr="00C37059" w:rsidRDefault="00C37059" w:rsidP="00C37059">
      <w:pPr>
        <w:spacing w:before="112" w:after="0" w:line="240" w:lineRule="auto"/>
        <w:ind w:firstLine="720"/>
        <w:jc w:val="both"/>
        <w:rPr>
          <w:sz w:val="28"/>
          <w:szCs w:val="28"/>
        </w:rPr>
      </w:pPr>
      <w:r w:rsidRPr="00C37059">
        <w:rPr>
          <w:sz w:val="28"/>
          <w:szCs w:val="28"/>
        </w:rPr>
        <w:t>2. Khi cơ quan, đơn vị đề xuất sử dụng ngân sách nhà nước hoặc khai thác tài sản công để triển khai hệ thống, phối hợp rà soát nhu cầu kinh phí, nguồn kinh phí, khả năng cân đối ngân sách và thủ tục liên quan; tham mưu cấp có thẩm quyền xem xét theo quy định.</w:t>
      </w:r>
    </w:p>
    <w:p w:rsidR="00C37059" w:rsidRPr="00C37059" w:rsidRDefault="00C37059" w:rsidP="00C37059">
      <w:pPr>
        <w:spacing w:before="112" w:after="0" w:line="240" w:lineRule="auto"/>
        <w:ind w:firstLine="720"/>
        <w:jc w:val="both"/>
        <w:rPr>
          <w:b/>
          <w:sz w:val="28"/>
          <w:szCs w:val="28"/>
        </w:rPr>
      </w:pPr>
      <w:r w:rsidRPr="00C37059">
        <w:rPr>
          <w:b/>
          <w:sz w:val="28"/>
          <w:szCs w:val="28"/>
        </w:rPr>
        <w:lastRenderedPageBreak/>
        <w:t>Điều 11. Trách nhiệm của Sở Xây dựng, Sở Nông nghiệp và Môi trường, Sở Khoa học và Công nghệ, Công an tỉnh.</w:t>
      </w:r>
    </w:p>
    <w:p w:rsidR="00C37059" w:rsidRPr="00C37059" w:rsidRDefault="00C37059" w:rsidP="00C37059">
      <w:pPr>
        <w:spacing w:before="112" w:after="0" w:line="240" w:lineRule="auto"/>
        <w:ind w:firstLine="720"/>
        <w:jc w:val="both"/>
        <w:rPr>
          <w:sz w:val="28"/>
          <w:szCs w:val="28"/>
        </w:rPr>
      </w:pPr>
      <w:r w:rsidRPr="00C37059">
        <w:rPr>
          <w:sz w:val="28"/>
          <w:szCs w:val="28"/>
        </w:rPr>
        <w:t>1. Sở Xây dựng hướng dẫn tổ chức, cá nhân thực hiện các quy định về xây dựng đối với công trình lắp đặt điện mặt trời mái nhà; lưu ý việc đánh giá khả năng chịu lực của mái, bảo đảm an toàn kết cấu công trình và các yêu cầu khác thuộc phạm vi quản lý.</w:t>
      </w:r>
    </w:p>
    <w:p w:rsidR="00C37059" w:rsidRPr="00C37059" w:rsidRDefault="00C37059" w:rsidP="00C37059">
      <w:pPr>
        <w:spacing w:before="112" w:after="0" w:line="240" w:lineRule="auto"/>
        <w:ind w:firstLine="720"/>
        <w:jc w:val="both"/>
        <w:rPr>
          <w:sz w:val="28"/>
          <w:szCs w:val="28"/>
        </w:rPr>
      </w:pPr>
      <w:r w:rsidRPr="00C37059">
        <w:rPr>
          <w:sz w:val="28"/>
          <w:szCs w:val="28"/>
        </w:rPr>
        <w:t>2. Công an tỉnh hướng dẫn tổ chức, cá nhân thực hiện các quy định về phòng cháy, chữa cháy và cứu nạn, cứu hộ đối với hệ thống điện mặt trời mái nhà và hệ thống lưu trữ điện theo quy định pháp luật chuyên ngành.</w:t>
      </w:r>
    </w:p>
    <w:p w:rsidR="00C37059" w:rsidRPr="00C37059" w:rsidRDefault="00C37059" w:rsidP="00C37059">
      <w:pPr>
        <w:spacing w:before="112" w:after="0" w:line="240" w:lineRule="auto"/>
        <w:ind w:firstLine="720"/>
        <w:jc w:val="both"/>
        <w:rPr>
          <w:sz w:val="28"/>
          <w:szCs w:val="28"/>
        </w:rPr>
      </w:pPr>
      <w:r w:rsidRPr="00C37059">
        <w:rPr>
          <w:sz w:val="28"/>
          <w:szCs w:val="28"/>
        </w:rPr>
        <w:t>3. Sở Nông nghiệp và Môi trường hướng dẫn việc quản lý, thu gom, vận chuyển, tái sử dụng và xử lý tấm pin mặt trời, pin lưu trữ điện và các chất thải phát sinh khi lắp đặt, vận hành, bảo dưỡng, thay thế hoặc tháo dỡ hệ thống theo quy định pháp luật về bảo vệ môi trường.</w:t>
      </w:r>
    </w:p>
    <w:p w:rsidR="00C37059" w:rsidRPr="00C37059" w:rsidRDefault="00C37059" w:rsidP="00C37059">
      <w:pPr>
        <w:spacing w:before="112" w:after="0" w:line="240" w:lineRule="auto"/>
        <w:ind w:firstLine="720"/>
        <w:jc w:val="both"/>
        <w:rPr>
          <w:sz w:val="28"/>
          <w:szCs w:val="28"/>
        </w:rPr>
      </w:pPr>
      <w:r w:rsidRPr="00C37059">
        <w:rPr>
          <w:sz w:val="28"/>
          <w:szCs w:val="28"/>
        </w:rPr>
        <w:t>4. Sở Khoa học và Công nghệ phổ biến thông tin về tiêu chuẩn, quy chuẩn kỹ thuật có liên quan và hướng dẫn việc áp dụng các tiêu chuẩn, quy chuẩn kỹ thuật thuộc phạm vi quản lý theo chức năng, nhiệm vụ được giao.</w:t>
      </w:r>
    </w:p>
    <w:p w:rsidR="00C37059" w:rsidRPr="00C37059" w:rsidRDefault="00C37059" w:rsidP="00C37059">
      <w:pPr>
        <w:spacing w:before="112" w:after="0" w:line="240" w:lineRule="auto"/>
        <w:ind w:firstLine="720"/>
        <w:jc w:val="both"/>
        <w:rPr>
          <w:b/>
          <w:sz w:val="28"/>
          <w:szCs w:val="28"/>
        </w:rPr>
      </w:pPr>
      <w:r w:rsidRPr="00C37059">
        <w:rPr>
          <w:b/>
          <w:sz w:val="28"/>
          <w:szCs w:val="28"/>
        </w:rPr>
        <w:t>Điều 12. Trách nhiệm của UBND cấp xã</w:t>
      </w:r>
    </w:p>
    <w:p w:rsidR="00C37059" w:rsidRPr="00C37059" w:rsidRDefault="00C37059" w:rsidP="00C37059">
      <w:pPr>
        <w:spacing w:before="112" w:after="0" w:line="240" w:lineRule="auto"/>
        <w:ind w:firstLine="720"/>
        <w:jc w:val="both"/>
        <w:rPr>
          <w:sz w:val="28"/>
          <w:szCs w:val="28"/>
        </w:rPr>
      </w:pPr>
      <w:r w:rsidRPr="00C37059">
        <w:rPr>
          <w:sz w:val="28"/>
          <w:szCs w:val="28"/>
        </w:rPr>
        <w:t>1. Tuyên truyền, hướng dẫn tổ chức, cá nhân trên địa bàn thực hiện quy định pháp luật về điện mặt trời mái nhà tự sản xuất, tự tiêu thụ và hệ thống lưu trữ điện.</w:t>
      </w:r>
    </w:p>
    <w:p w:rsidR="00C37059" w:rsidRPr="00C37059" w:rsidRDefault="00C37059" w:rsidP="00C37059">
      <w:pPr>
        <w:spacing w:before="112" w:after="0" w:line="240" w:lineRule="auto"/>
        <w:ind w:firstLine="720"/>
        <w:jc w:val="both"/>
        <w:rPr>
          <w:sz w:val="28"/>
          <w:szCs w:val="28"/>
        </w:rPr>
      </w:pPr>
      <w:r w:rsidRPr="00C37059">
        <w:rPr>
          <w:sz w:val="28"/>
          <w:szCs w:val="28"/>
        </w:rPr>
        <w:t>2. Tiếp nhận, quản lý và xử lý thông báo phát triển điện mặt trời mái nhà tự sản xuất, tự tiêu thụ theo thẩm quyền, trình tự quy định tại pháp luật về điện lực; phối hợp cung cấp số liệu về tình hình phát triển trên địa bàn cho Sở Công Thương để tổng hợp báo cáo.</w:t>
      </w:r>
    </w:p>
    <w:p w:rsidR="00C37059" w:rsidRPr="00C37059" w:rsidRDefault="00C37059" w:rsidP="00C37059">
      <w:pPr>
        <w:spacing w:before="112" w:after="0" w:line="240" w:lineRule="auto"/>
        <w:ind w:firstLine="720"/>
        <w:jc w:val="both"/>
        <w:rPr>
          <w:sz w:val="28"/>
          <w:szCs w:val="28"/>
        </w:rPr>
      </w:pPr>
      <w:r w:rsidRPr="00C37059">
        <w:rPr>
          <w:sz w:val="28"/>
          <w:szCs w:val="28"/>
        </w:rPr>
        <w:t>3. Phối hợp với đơn vị điện lực và cơ quan chuyên môn theo dõi tình hình triển khai tại địa bàn; khi phát hiện dấu hiệu mất an toàn điện, ảnh hưởng đến công trình hoặc môi trường, kịp thời thông tin cho cơ quan có thẩm quyền.</w:t>
      </w:r>
    </w:p>
    <w:p w:rsidR="00C37059" w:rsidRPr="00C37059" w:rsidRDefault="00C37059" w:rsidP="00C37059">
      <w:pPr>
        <w:spacing w:before="112" w:after="0" w:line="240" w:lineRule="auto"/>
        <w:ind w:firstLine="720"/>
        <w:jc w:val="both"/>
        <w:rPr>
          <w:b/>
          <w:sz w:val="28"/>
          <w:szCs w:val="28"/>
        </w:rPr>
      </w:pPr>
      <w:r w:rsidRPr="00C37059">
        <w:rPr>
          <w:b/>
          <w:sz w:val="28"/>
          <w:szCs w:val="28"/>
        </w:rPr>
        <w:t>Điều 13. Trách nhiệm của Công ty Điện lực Đắk Lắk</w:t>
      </w:r>
    </w:p>
    <w:p w:rsidR="00C37059" w:rsidRPr="00C37059" w:rsidRDefault="00C37059" w:rsidP="00C37059">
      <w:pPr>
        <w:spacing w:before="112" w:after="0" w:line="240" w:lineRule="auto"/>
        <w:ind w:firstLine="720"/>
        <w:jc w:val="both"/>
        <w:rPr>
          <w:sz w:val="28"/>
          <w:szCs w:val="28"/>
        </w:rPr>
      </w:pPr>
      <w:r w:rsidRPr="00C37059">
        <w:rPr>
          <w:sz w:val="28"/>
          <w:szCs w:val="28"/>
        </w:rPr>
        <w:t>1. Hướng dẫn tổ chức, cá nhân các yêu cầu về kỹ thuật, đấu nối, đo đếm điện năng và vận hành hệ thống điện mặt trời mái nhà, hệ thống lưu trữ điện có đấu nối với lưới điện theo quy định pháp luật và thỏa thuận hợp pháp giữa các bên.</w:t>
      </w:r>
    </w:p>
    <w:p w:rsidR="00C37059" w:rsidRPr="00C37059" w:rsidRDefault="00C37059" w:rsidP="00C37059">
      <w:pPr>
        <w:spacing w:before="112" w:after="0" w:line="240" w:lineRule="auto"/>
        <w:ind w:firstLine="720"/>
        <w:jc w:val="both"/>
        <w:rPr>
          <w:sz w:val="28"/>
          <w:szCs w:val="28"/>
        </w:rPr>
      </w:pPr>
      <w:r w:rsidRPr="00C37059">
        <w:rPr>
          <w:sz w:val="28"/>
          <w:szCs w:val="28"/>
        </w:rPr>
        <w:t>2. Phối hợp cung cấp thông tin, số liệu tổng hợp về tình hình đấu nối, vận hành các hệ thống điện mặt trời mái nhà có liên quan đến lưới điện thuộc phạm vi quản lý, phục vụ công tác quản lý nhà nước và đánh giá khả năng tiếp nhận của lưới điện theo quy định.</w:t>
      </w:r>
    </w:p>
    <w:p w:rsidR="00C37059" w:rsidRPr="00C37059" w:rsidRDefault="00C37059" w:rsidP="00C37059">
      <w:pPr>
        <w:spacing w:before="112" w:after="0" w:line="240" w:lineRule="auto"/>
        <w:ind w:firstLine="720"/>
        <w:jc w:val="both"/>
        <w:rPr>
          <w:sz w:val="28"/>
          <w:szCs w:val="28"/>
        </w:rPr>
      </w:pPr>
      <w:r w:rsidRPr="00C37059">
        <w:rPr>
          <w:sz w:val="28"/>
          <w:szCs w:val="28"/>
        </w:rPr>
        <w:t>3. Kịp thời thông tin cho cơ quan có thẩm quyền khi phát hiện nguy cơ mất an toàn điện, ảnh hưởng đến chất lượng điện hoặc nguy cơ quá tải lưới điện; phối hợp xử lý theo chức năng, nhiệm vụ và quy định pháp luật.</w:t>
      </w:r>
    </w:p>
    <w:p w:rsidR="00C37059" w:rsidRPr="00C37059" w:rsidRDefault="00C37059" w:rsidP="00C37059">
      <w:pPr>
        <w:spacing w:before="112" w:after="0" w:line="240" w:lineRule="auto"/>
        <w:ind w:firstLine="720"/>
        <w:jc w:val="both"/>
        <w:rPr>
          <w:b/>
          <w:sz w:val="28"/>
          <w:szCs w:val="28"/>
        </w:rPr>
      </w:pPr>
      <w:r w:rsidRPr="00C37059">
        <w:rPr>
          <w:b/>
          <w:sz w:val="28"/>
          <w:szCs w:val="28"/>
        </w:rPr>
        <w:lastRenderedPageBreak/>
        <w:t>Điều 14. Trách nhiệm của cơ quan, đơn vị quản lý, sử dụng công trình thuộc sở hữu nhà nước</w:t>
      </w:r>
    </w:p>
    <w:p w:rsidR="00C37059" w:rsidRPr="00C37059" w:rsidRDefault="00C37059" w:rsidP="00C37059">
      <w:pPr>
        <w:spacing w:before="112" w:after="0" w:line="240" w:lineRule="auto"/>
        <w:ind w:firstLine="720"/>
        <w:jc w:val="both"/>
        <w:rPr>
          <w:sz w:val="28"/>
          <w:szCs w:val="28"/>
        </w:rPr>
      </w:pPr>
      <w:r w:rsidRPr="00C37059">
        <w:rPr>
          <w:sz w:val="28"/>
          <w:szCs w:val="28"/>
        </w:rPr>
        <w:t>1. Rà soát nhu cầu sử dụng điện, hiện trạng mái và điều kiện của công trình do mình quản lý; cung cấp thông tin chính xác để phục vụ việc tổng hợp, đánh giá và xây dựng kế hoạch.</w:t>
      </w:r>
    </w:p>
    <w:p w:rsidR="00C37059" w:rsidRPr="00C37059" w:rsidRDefault="00C37059" w:rsidP="00C37059">
      <w:pPr>
        <w:spacing w:before="112" w:after="0" w:line="240" w:lineRule="auto"/>
        <w:ind w:firstLine="720"/>
        <w:jc w:val="both"/>
        <w:rPr>
          <w:sz w:val="28"/>
          <w:szCs w:val="28"/>
        </w:rPr>
      </w:pPr>
      <w:r w:rsidRPr="00C37059">
        <w:rPr>
          <w:sz w:val="28"/>
          <w:szCs w:val="28"/>
        </w:rPr>
        <w:t>2. Chỉ đề xuất đầu tư lắp đặt hệ thống tại công trình do mình quản lý sau khi đánh giá nhu cầu sử dụng điện, điều kiện kỹ thuật, hiệu quả, an toàn, nguồn vốn và phương án quản lý, sử dụng tài sản.</w:t>
      </w:r>
    </w:p>
    <w:p w:rsidR="00C37059" w:rsidRPr="00C37059" w:rsidRDefault="00C37059" w:rsidP="00C37059">
      <w:pPr>
        <w:spacing w:before="112" w:after="0" w:line="240" w:lineRule="auto"/>
        <w:ind w:firstLine="720"/>
        <w:jc w:val="both"/>
        <w:rPr>
          <w:sz w:val="28"/>
          <w:szCs w:val="28"/>
        </w:rPr>
      </w:pPr>
      <w:r w:rsidRPr="00C37059">
        <w:rPr>
          <w:sz w:val="28"/>
          <w:szCs w:val="28"/>
        </w:rPr>
        <w:t>3. Tổ chức quản lý, vận hành, bảo trì và giám sát hệ thống sau khi đầu tư; thực hiện đầy đủ trách nhiệm của chủ sở hữu, chủ đầu tư hoặc đơn vị sử dụng theo quy định pháp luật.</w:t>
      </w:r>
    </w:p>
    <w:p w:rsidR="00C37059" w:rsidRPr="00C37059" w:rsidRDefault="00C37059" w:rsidP="00C37059">
      <w:pPr>
        <w:spacing w:before="112" w:after="0" w:line="240" w:lineRule="auto"/>
        <w:ind w:firstLine="720"/>
        <w:jc w:val="both"/>
        <w:rPr>
          <w:b/>
          <w:sz w:val="28"/>
          <w:szCs w:val="28"/>
        </w:rPr>
      </w:pPr>
      <w:r w:rsidRPr="00C37059">
        <w:rPr>
          <w:b/>
          <w:sz w:val="28"/>
          <w:szCs w:val="28"/>
        </w:rPr>
        <w:t>Điều 15. Kinh phí thực hiện</w:t>
      </w:r>
    </w:p>
    <w:p w:rsidR="00C37059" w:rsidRPr="00C37059" w:rsidRDefault="00C37059" w:rsidP="00C37059">
      <w:pPr>
        <w:spacing w:before="112" w:after="0" w:line="240" w:lineRule="auto"/>
        <w:ind w:firstLine="720"/>
        <w:jc w:val="both"/>
        <w:rPr>
          <w:sz w:val="28"/>
          <w:szCs w:val="28"/>
        </w:rPr>
      </w:pPr>
      <w:r w:rsidRPr="00C37059">
        <w:rPr>
          <w:sz w:val="28"/>
          <w:szCs w:val="28"/>
        </w:rPr>
        <w:t>1. Kinh phí thực hiện nhiệm vụ của cơ quan nhà nước được bố trí từ dự toán chi thường xuyên, vốn đầu tư công hoặc nguồn kinh phí hợp pháp khác theo phân cấp ngân sách và trong phạm vi dự toán được cấp có thẩm quyền giao.</w:t>
      </w:r>
    </w:p>
    <w:p w:rsidR="00C37059" w:rsidRPr="00C37059" w:rsidRDefault="00C37059" w:rsidP="00C37059">
      <w:pPr>
        <w:spacing w:before="112" w:after="0" w:line="240" w:lineRule="auto"/>
        <w:ind w:firstLine="720"/>
        <w:jc w:val="both"/>
        <w:rPr>
          <w:sz w:val="28"/>
          <w:szCs w:val="28"/>
        </w:rPr>
      </w:pPr>
      <w:r w:rsidRPr="00C37059">
        <w:rPr>
          <w:sz w:val="28"/>
          <w:szCs w:val="28"/>
        </w:rPr>
        <w:t>2. Quy định này không tự xác lập khoản hỗ trợ tài chính, mức hỗ trợ hoặc đối tượng được hỗ trợ từ ngân sách nhà nước. Trường hợp đề xuất chính sách hỗ trợ riêng, hồ sơ phải nêu rõ đối tượng, nội dung, mức hỗ trợ, nhu cầu và nguồn kinh phí, khả năng cân đối ngân sách; việc hỗ trợ chỉ được thực hiện khi có căn cứ pháp lý và được cấp có thẩm quyền quyết định.</w:t>
      </w:r>
    </w:p>
    <w:p w:rsidR="00C37059" w:rsidRPr="00C37059" w:rsidRDefault="00C37059" w:rsidP="00C37059">
      <w:pPr>
        <w:spacing w:before="112" w:after="0" w:line="240" w:lineRule="auto"/>
        <w:ind w:firstLine="720"/>
        <w:jc w:val="both"/>
        <w:rPr>
          <w:sz w:val="28"/>
          <w:szCs w:val="28"/>
        </w:rPr>
      </w:pPr>
      <w:r w:rsidRPr="00C37059">
        <w:rPr>
          <w:sz w:val="28"/>
          <w:szCs w:val="28"/>
        </w:rPr>
        <w:t>3. Tổ chức, cá nhân tự đầu tư hệ thống bằng nguồn vốn hợp pháp và tự chịu trách nhiệm về hiệu quả đầu tư, trừ trường hợp thuộc đối tượng được hưởng chính sách hỗ trợ riêng do cấp có thẩm quyền ban hành.</w:t>
      </w:r>
    </w:p>
    <w:p w:rsidR="00C37059" w:rsidRPr="00C37059" w:rsidRDefault="00C37059" w:rsidP="00C37059">
      <w:pPr>
        <w:spacing w:before="112" w:after="0" w:line="240" w:lineRule="auto"/>
        <w:ind w:firstLine="720"/>
        <w:jc w:val="both"/>
        <w:rPr>
          <w:sz w:val="28"/>
          <w:szCs w:val="28"/>
        </w:rPr>
      </w:pPr>
      <w:r w:rsidRPr="00C37059">
        <w:rPr>
          <w:sz w:val="28"/>
          <w:szCs w:val="28"/>
        </w:rPr>
        <w:t>4. Kinh phí kiểm tra, vệ sinh, bảo dưỡng, sửa chữa, thay thế thiết bị và vận hành hệ thống tại cơ quan, đơn vị sử dụng ngân sách nhà nước được bố trí trong dự toán được cấp có thẩm quyền giao và từ nguồn kinh phí hợp pháp khác theo quy định. Tiền điện tiết kiệm được (nếu có) là phần chênh lệch giữa chi phí tiền điện trước và sau khi lắp đặt hệ thống, không mặc nhiên là khoản kinh phí được phép giữ lại hoặc sử dụng cho mục đích khác. Việc sử dụng khoản kinh phí tiết kiệm để bảo dưỡng, vận hành hệ thống chỉ được thực hiện khi phù hợp với pháp luật về ngân sách nhà nước, cơ chế tự chủ tài chính áp dụng đối với đơn vị và đã hoàn thành thủ tục điều chỉnh dự toán theo thẩm quyền.</w:t>
      </w:r>
    </w:p>
    <w:p w:rsidR="00C37059" w:rsidRPr="00C37059" w:rsidRDefault="00C37059" w:rsidP="00C37059">
      <w:pPr>
        <w:spacing w:before="112" w:after="0" w:line="240" w:lineRule="auto"/>
        <w:ind w:firstLine="720"/>
        <w:jc w:val="both"/>
        <w:rPr>
          <w:b/>
          <w:sz w:val="28"/>
          <w:szCs w:val="28"/>
        </w:rPr>
      </w:pPr>
      <w:r w:rsidRPr="00C37059">
        <w:rPr>
          <w:b/>
          <w:sz w:val="28"/>
          <w:szCs w:val="28"/>
        </w:rPr>
        <w:t>Điều 16. Tổng hợp tình hình thực hiện và xử lý vướng mắc</w:t>
      </w:r>
    </w:p>
    <w:p w:rsidR="00C37059" w:rsidRPr="00C37059" w:rsidRDefault="00C37059" w:rsidP="00C37059">
      <w:pPr>
        <w:spacing w:before="112" w:after="0" w:line="240" w:lineRule="auto"/>
        <w:ind w:firstLine="720"/>
        <w:jc w:val="both"/>
        <w:rPr>
          <w:sz w:val="28"/>
          <w:szCs w:val="28"/>
        </w:rPr>
      </w:pPr>
      <w:r w:rsidRPr="00C37059">
        <w:rPr>
          <w:sz w:val="28"/>
          <w:szCs w:val="28"/>
        </w:rPr>
        <w:t>1. UBND cấp xã báo cáo UBND tỉnh về tình hình phát triển điện mặt trời mái nhà tự sản xuất, tự tiêu thụ trên địa bàn trước ngày 10/12 hằng năm theo Mẫu số 07 ban hành kèm theo Nghị định số 243/2026/NĐ-CP.</w:t>
      </w:r>
    </w:p>
    <w:p w:rsidR="00C37059" w:rsidRPr="00C37059" w:rsidRDefault="00C37059" w:rsidP="00C37059">
      <w:pPr>
        <w:spacing w:before="112" w:after="0" w:line="240" w:lineRule="auto"/>
        <w:ind w:firstLine="720"/>
        <w:jc w:val="both"/>
        <w:rPr>
          <w:sz w:val="28"/>
          <w:szCs w:val="28"/>
        </w:rPr>
      </w:pPr>
      <w:r w:rsidRPr="00C37059">
        <w:rPr>
          <w:sz w:val="28"/>
          <w:szCs w:val="28"/>
        </w:rPr>
        <w:t xml:space="preserve">2. Sở Công Thương chủ trì tổng hợp tình hình phát triển điện mặt trời mái nhà tự sản xuất, tự tiêu thụ trên địa bàn tỉnh, tham mưu UBND tỉnh báo cáo Bộ Công </w:t>
      </w:r>
      <w:r w:rsidRPr="00C37059">
        <w:rPr>
          <w:sz w:val="28"/>
          <w:szCs w:val="28"/>
        </w:rPr>
        <w:lastRenderedPageBreak/>
        <w:t>Thương trước ngày 15/12 hằng năm theo Mẫu số 06 ban hành kèm theo Nghị định số 243/2026/NĐ-CP.</w:t>
      </w:r>
    </w:p>
    <w:p w:rsidR="00C37059" w:rsidRPr="00C37059" w:rsidRDefault="00C37059" w:rsidP="00C37059">
      <w:pPr>
        <w:spacing w:before="112" w:after="0" w:line="240" w:lineRule="auto"/>
        <w:ind w:firstLine="720"/>
        <w:jc w:val="both"/>
        <w:rPr>
          <w:sz w:val="28"/>
          <w:szCs w:val="28"/>
        </w:rPr>
      </w:pPr>
      <w:r w:rsidRPr="00C37059">
        <w:rPr>
          <w:sz w:val="28"/>
          <w:szCs w:val="28"/>
        </w:rPr>
        <w:t>3. Các sở, ban, ngành, cơ quan, đơn vị có liên quan cung cấp thông tin, số liệu thuộc phạm vi quản lý theo đề nghị của Sở Công Thương để phục vụ tổng hợp báo cáo theo các mốc thời gian quy định tại khoản 1 và khoản 2 Điều này.</w:t>
      </w:r>
    </w:p>
    <w:p w:rsidR="00C37059" w:rsidRPr="00C37059" w:rsidRDefault="00C37059" w:rsidP="00C37059">
      <w:pPr>
        <w:spacing w:before="112" w:after="0" w:line="240" w:lineRule="auto"/>
        <w:ind w:firstLine="720"/>
        <w:jc w:val="both"/>
        <w:rPr>
          <w:sz w:val="28"/>
          <w:szCs w:val="28"/>
        </w:rPr>
      </w:pPr>
      <w:r w:rsidRPr="00C37059">
        <w:rPr>
          <w:sz w:val="28"/>
          <w:szCs w:val="28"/>
        </w:rPr>
        <w:t>4. Trong quá trình thực hiện, cơ quan, đơn vị, tổ chức, cá nhân phản ánh khó khăn, vướng mắc về Sở Công Thương, nêu rõ nội dung, quy định liên quan và đề xuất hướng xử lý (nếu có). Sở Công Thương tổng hợp, xử lý theo chức năng, nhiệm vụ hoặc tham mưu UBND tỉnh kiến nghị cơ quan có thẩm quyền giải quyết đối với nội dung vượt thẩm quyền.</w:t>
      </w:r>
    </w:p>
    <w:p w:rsidR="00404E37" w:rsidRPr="000B4885" w:rsidRDefault="00404E37" w:rsidP="00096847">
      <w:pPr>
        <w:spacing w:before="120" w:after="0" w:line="240" w:lineRule="auto"/>
        <w:ind w:firstLine="720"/>
        <w:jc w:val="both"/>
      </w:pPr>
    </w:p>
    <w:sectPr w:rsidR="00404E37" w:rsidRPr="000B4885">
      <w:pgSz w:w="12240" w:h="15840"/>
      <w:pgMar w:top="1134" w:right="1134" w:bottom="1134" w:left="1701" w:header="72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ＭＳ ゴシック">
    <w:panose1 w:val="00000000000000000000"/>
    <w:charset w:val="80"/>
    <w:family w:val="roman"/>
    <w:notTrueType/>
    <w:pitch w:val="default"/>
  </w:font>
  <w:font w:name="Courier">
    <w:panose1 w:val="02070409020205020404"/>
    <w:charset w:val="00"/>
    <w:family w:val="auto"/>
    <w:pitch w:val="variable"/>
  </w:font>
  <w:font w:name="Cambria">
    <w:panose1 w:val="02040503050406030204"/>
    <w:charset w:val="00"/>
    <w:family w:val="roman"/>
    <w:pitch w:val="variable"/>
    <w:sig w:usb0="E00006FF" w:usb1="420024FF" w:usb2="02000000" w:usb3="00000000" w:csb0="0000019F" w:csb1="00000000"/>
  </w:font>
  <w:font w:name="MS Mincho;ＭＳ 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5E7A"/>
    <w:multiLevelType w:val="multilevel"/>
    <w:tmpl w:val="76480542"/>
    <w:lvl w:ilvl="0">
      <w:start w:val="1"/>
      <w:numFmt w:val="bullet"/>
      <w:pStyle w:val="ListBullet21"/>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5D4EFF"/>
    <w:multiLevelType w:val="multilevel"/>
    <w:tmpl w:val="8BA0EEFC"/>
    <w:lvl w:ilvl="0">
      <w:start w:val="1"/>
      <w:numFmt w:val="bullet"/>
      <w:pStyle w:val="ListBullet31"/>
      <w:lvlText w:val=""/>
      <w:lvlJc w:val="left"/>
      <w:pPr>
        <w:tabs>
          <w:tab w:val="num" w:pos="108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AE4A27"/>
    <w:multiLevelType w:val="multilevel"/>
    <w:tmpl w:val="01E04174"/>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811E1C"/>
    <w:multiLevelType w:val="multilevel"/>
    <w:tmpl w:val="792AE49E"/>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B031AD"/>
    <w:multiLevelType w:val="multilevel"/>
    <w:tmpl w:val="D8DE5E3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5" w15:restartNumberingAfterBreak="0">
    <w:nsid w:val="5151479B"/>
    <w:multiLevelType w:val="multilevel"/>
    <w:tmpl w:val="8074848C"/>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3A36CF"/>
    <w:multiLevelType w:val="multilevel"/>
    <w:tmpl w:val="BCBCF5E8"/>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3"/>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E37"/>
    <w:rsid w:val="00096847"/>
    <w:rsid w:val="000B4885"/>
    <w:rsid w:val="00250399"/>
    <w:rsid w:val="00252B2A"/>
    <w:rsid w:val="00264E27"/>
    <w:rsid w:val="002A39AE"/>
    <w:rsid w:val="00307FD9"/>
    <w:rsid w:val="00334663"/>
    <w:rsid w:val="00346900"/>
    <w:rsid w:val="003C15AE"/>
    <w:rsid w:val="00404E37"/>
    <w:rsid w:val="004A6B18"/>
    <w:rsid w:val="004B3A3B"/>
    <w:rsid w:val="00503DA0"/>
    <w:rsid w:val="005F29DC"/>
    <w:rsid w:val="00626FB2"/>
    <w:rsid w:val="0067333E"/>
    <w:rsid w:val="007822A6"/>
    <w:rsid w:val="00820E98"/>
    <w:rsid w:val="008B68E9"/>
    <w:rsid w:val="008F1DD5"/>
    <w:rsid w:val="0093174F"/>
    <w:rsid w:val="00A04AF3"/>
    <w:rsid w:val="00AD5D62"/>
    <w:rsid w:val="00B7595C"/>
    <w:rsid w:val="00BD1029"/>
    <w:rsid w:val="00BE5D85"/>
    <w:rsid w:val="00C37059"/>
    <w:rsid w:val="00DF48C2"/>
    <w:rsid w:val="00F32F9B"/>
    <w:rsid w:val="00F527FF"/>
    <w:rsid w:val="00FD6F6C"/>
    <w:rsid w:val="00FF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1CBCA"/>
  <w15:docId w15:val="{3B71E317-62AC-4754-AD86-C08C76CD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60" w:line="276" w:lineRule="auto"/>
    </w:pPr>
    <w:rPr>
      <w:rFonts w:ascii="Times New Roman" w:eastAsia="Times New Roman" w:hAnsi="Times New Roman" w:cs="Times New Roman"/>
      <w:sz w:val="26"/>
      <w:szCs w:val="22"/>
      <w:lang w:eastAsia="zh-CN"/>
    </w:rPr>
  </w:style>
  <w:style w:type="paragraph" w:styleId="Heading1">
    <w:name w:val="heading 1"/>
    <w:basedOn w:val="Normal"/>
    <w:next w:val="Normal"/>
    <w:qFormat/>
    <w:pPr>
      <w:keepNext/>
      <w:keepLines/>
      <w:numPr>
        <w:numId w:val="1"/>
      </w:numPr>
      <w:spacing w:before="480" w:after="0"/>
      <w:outlineLvl w:val="0"/>
    </w:pPr>
    <w:rPr>
      <w:rFonts w:ascii="Calibri" w:eastAsia="MS Gothic;ＭＳ ゴシック" w:hAnsi="Calibri"/>
      <w:b/>
      <w:bCs/>
      <w:color w:val="365F91"/>
      <w:sz w:val="28"/>
      <w:szCs w:val="28"/>
    </w:rPr>
  </w:style>
  <w:style w:type="paragraph" w:styleId="Heading2">
    <w:name w:val="heading 2"/>
    <w:basedOn w:val="Normal"/>
    <w:next w:val="Normal"/>
    <w:qFormat/>
    <w:pPr>
      <w:keepNext/>
      <w:keepLines/>
      <w:numPr>
        <w:ilvl w:val="1"/>
        <w:numId w:val="1"/>
      </w:numPr>
      <w:spacing w:before="200" w:after="0"/>
      <w:outlineLvl w:val="1"/>
    </w:pPr>
    <w:rPr>
      <w:rFonts w:ascii="Calibri" w:eastAsia="MS Gothic;ＭＳ ゴシック" w:hAnsi="Calibri"/>
      <w:b/>
      <w:bCs/>
      <w:color w:val="4F81BD"/>
      <w:szCs w:val="26"/>
    </w:rPr>
  </w:style>
  <w:style w:type="paragraph" w:styleId="Heading3">
    <w:name w:val="heading 3"/>
    <w:basedOn w:val="Normal"/>
    <w:next w:val="Normal"/>
    <w:qFormat/>
    <w:pPr>
      <w:keepNext/>
      <w:keepLines/>
      <w:numPr>
        <w:ilvl w:val="2"/>
        <w:numId w:val="1"/>
      </w:numPr>
      <w:spacing w:before="200" w:after="0"/>
      <w:outlineLvl w:val="2"/>
    </w:pPr>
    <w:rPr>
      <w:rFonts w:ascii="Calibri" w:eastAsia="MS Gothic;ＭＳ ゴシック" w:hAnsi="Calibri"/>
      <w:b/>
      <w:bCs/>
      <w:color w:val="4F81BD"/>
    </w:rPr>
  </w:style>
  <w:style w:type="paragraph" w:styleId="Heading4">
    <w:name w:val="heading 4"/>
    <w:basedOn w:val="Normal"/>
    <w:next w:val="Normal"/>
    <w:qFormat/>
    <w:pPr>
      <w:keepNext/>
      <w:keepLines/>
      <w:numPr>
        <w:ilvl w:val="3"/>
        <w:numId w:val="1"/>
      </w:numPr>
      <w:spacing w:before="200" w:after="0"/>
      <w:outlineLvl w:val="3"/>
    </w:pPr>
    <w:rPr>
      <w:rFonts w:ascii="Calibri" w:eastAsia="MS Gothic;ＭＳ ゴシック" w:hAnsi="Calibri"/>
      <w:b/>
      <w:bCs/>
      <w:i/>
      <w:iCs/>
      <w:color w:val="4F81BD"/>
    </w:rPr>
  </w:style>
  <w:style w:type="paragraph" w:styleId="Heading5">
    <w:name w:val="heading 5"/>
    <w:basedOn w:val="Normal"/>
    <w:next w:val="Normal"/>
    <w:qFormat/>
    <w:pPr>
      <w:keepNext/>
      <w:keepLines/>
      <w:numPr>
        <w:ilvl w:val="4"/>
        <w:numId w:val="1"/>
      </w:numPr>
      <w:spacing w:before="200" w:after="0"/>
      <w:outlineLvl w:val="4"/>
    </w:pPr>
    <w:rPr>
      <w:rFonts w:ascii="Calibri" w:eastAsia="MS Gothic;ＭＳ ゴシック" w:hAnsi="Calibri"/>
      <w:color w:val="243F60"/>
    </w:rPr>
  </w:style>
  <w:style w:type="paragraph" w:styleId="Heading6">
    <w:name w:val="heading 6"/>
    <w:basedOn w:val="Normal"/>
    <w:next w:val="Normal"/>
    <w:qFormat/>
    <w:pPr>
      <w:keepNext/>
      <w:keepLines/>
      <w:numPr>
        <w:ilvl w:val="5"/>
        <w:numId w:val="1"/>
      </w:numPr>
      <w:spacing w:before="200" w:after="0"/>
      <w:outlineLvl w:val="5"/>
    </w:pPr>
    <w:rPr>
      <w:rFonts w:ascii="Calibri" w:eastAsia="MS Gothic;ＭＳ ゴシック" w:hAnsi="Calibri"/>
      <w:i/>
      <w:iCs/>
      <w:color w:val="243F60"/>
    </w:rPr>
  </w:style>
  <w:style w:type="paragraph" w:styleId="Heading7">
    <w:name w:val="heading 7"/>
    <w:basedOn w:val="Normal"/>
    <w:next w:val="Normal"/>
    <w:qFormat/>
    <w:pPr>
      <w:keepNext/>
      <w:keepLines/>
      <w:numPr>
        <w:ilvl w:val="6"/>
        <w:numId w:val="1"/>
      </w:numPr>
      <w:spacing w:before="200" w:after="0"/>
      <w:outlineLvl w:val="6"/>
    </w:pPr>
    <w:rPr>
      <w:rFonts w:ascii="Calibri" w:eastAsia="MS Gothic;ＭＳ ゴシック" w:hAnsi="Calibri"/>
      <w:i/>
      <w:iCs/>
      <w:color w:val="404040"/>
    </w:rPr>
  </w:style>
  <w:style w:type="paragraph" w:styleId="Heading8">
    <w:name w:val="heading 8"/>
    <w:basedOn w:val="Normal"/>
    <w:next w:val="Normal"/>
    <w:qFormat/>
    <w:pPr>
      <w:keepNext/>
      <w:keepLines/>
      <w:numPr>
        <w:ilvl w:val="7"/>
        <w:numId w:val="1"/>
      </w:numPr>
      <w:spacing w:before="200" w:after="0"/>
      <w:outlineLvl w:val="7"/>
    </w:pPr>
    <w:rPr>
      <w:rFonts w:ascii="Calibri" w:eastAsia="MS Gothic;ＭＳ ゴシック" w:hAnsi="Calibri"/>
      <w:color w:val="4F81BD"/>
      <w:sz w:val="20"/>
      <w:szCs w:val="20"/>
    </w:rPr>
  </w:style>
  <w:style w:type="paragraph" w:styleId="Heading9">
    <w:name w:val="heading 9"/>
    <w:basedOn w:val="Normal"/>
    <w:next w:val="Normal"/>
    <w:qFormat/>
    <w:pPr>
      <w:keepNext/>
      <w:keepLines/>
      <w:numPr>
        <w:ilvl w:val="8"/>
        <w:numId w:val="1"/>
      </w:numPr>
      <w:spacing w:before="200" w:after="0"/>
      <w:outlineLvl w:val="8"/>
    </w:pPr>
    <w:rPr>
      <w:rFonts w:ascii="Calibri" w:eastAsia="MS Gothic;ＭＳ ゴシック"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9z0">
    <w:name w:val="WW8Num9z0"/>
    <w:qFormat/>
    <w:rPr>
      <w:rFonts w:ascii="Symbol" w:hAnsi="Symbol" w:cs="Symbol"/>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Heading1Char">
    <w:name w:val="Heading 1 Char"/>
    <w:qFormat/>
    <w:rPr>
      <w:rFonts w:ascii="Calibri" w:eastAsia="MS Gothic;ＭＳ ゴシック" w:hAnsi="Calibri" w:cs="Times New Roman"/>
      <w:b/>
      <w:bCs/>
      <w:color w:val="365F91"/>
      <w:sz w:val="28"/>
      <w:szCs w:val="28"/>
    </w:rPr>
  </w:style>
  <w:style w:type="character" w:customStyle="1" w:styleId="Heading2Char">
    <w:name w:val="Heading 2 Char"/>
    <w:qFormat/>
    <w:rPr>
      <w:rFonts w:ascii="Calibri" w:eastAsia="MS Gothic;ＭＳ ゴシック" w:hAnsi="Calibri" w:cs="Times New Roman"/>
      <w:b/>
      <w:bCs/>
      <w:color w:val="4F81BD"/>
      <w:sz w:val="26"/>
      <w:szCs w:val="26"/>
    </w:rPr>
  </w:style>
  <w:style w:type="character" w:customStyle="1" w:styleId="Heading3Char">
    <w:name w:val="Heading 3 Char"/>
    <w:qFormat/>
    <w:rPr>
      <w:rFonts w:ascii="Calibri" w:eastAsia="MS Gothic;ＭＳ ゴシック" w:hAnsi="Calibri" w:cs="Times New Roman"/>
      <w:b/>
      <w:bCs/>
      <w:color w:val="4F81BD"/>
    </w:rPr>
  </w:style>
  <w:style w:type="character" w:customStyle="1" w:styleId="TitleChar">
    <w:name w:val="Title Char"/>
    <w:qFormat/>
    <w:rPr>
      <w:rFonts w:ascii="Calibri" w:eastAsia="MS Gothic;ＭＳ ゴシック" w:hAnsi="Calibri" w:cs="Times New Roman"/>
      <w:color w:val="17365D"/>
      <w:spacing w:val="5"/>
      <w:kern w:val="2"/>
      <w:sz w:val="52"/>
      <w:szCs w:val="52"/>
    </w:rPr>
  </w:style>
  <w:style w:type="character" w:customStyle="1" w:styleId="SubtitleChar">
    <w:name w:val="Subtitle Char"/>
    <w:qFormat/>
    <w:rPr>
      <w:rFonts w:ascii="Calibri" w:eastAsia="MS Gothic;ＭＳ ゴシック" w:hAnsi="Calibri" w:cs="Times New Roman"/>
      <w:i/>
      <w:iCs/>
      <w:color w:val="4F81BD"/>
      <w:spacing w:val="15"/>
      <w:sz w:val="24"/>
      <w:szCs w:val="24"/>
    </w:rPr>
  </w:style>
  <w:style w:type="character" w:customStyle="1" w:styleId="BodyTextChar">
    <w:name w:val="Body Text Char"/>
    <w:basedOn w:val="DefaultParagraphFont"/>
    <w:qFormat/>
  </w:style>
  <w:style w:type="character" w:customStyle="1" w:styleId="BodyText2Char">
    <w:name w:val="Body Text 2 Char"/>
    <w:basedOn w:val="DefaultParagraphFon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eastAsia="MS Gothic;ＭＳ ゴシック" w:hAnsi="Calibri" w:cs="Times New Roman"/>
      <w:b/>
      <w:bCs/>
      <w:i/>
      <w:iCs/>
      <w:color w:val="4F81BD"/>
    </w:rPr>
  </w:style>
  <w:style w:type="character" w:customStyle="1" w:styleId="Heading5Char">
    <w:name w:val="Heading 5 Char"/>
    <w:qFormat/>
    <w:rPr>
      <w:rFonts w:ascii="Calibri" w:eastAsia="MS Gothic;ＭＳ ゴシック" w:hAnsi="Calibri" w:cs="Times New Roman"/>
      <w:color w:val="243F60"/>
    </w:rPr>
  </w:style>
  <w:style w:type="character" w:customStyle="1" w:styleId="Heading6Char">
    <w:name w:val="Heading 6 Char"/>
    <w:qFormat/>
    <w:rPr>
      <w:rFonts w:ascii="Calibri" w:eastAsia="MS Gothic;ＭＳ ゴシック" w:hAnsi="Calibri" w:cs="Times New Roman"/>
      <w:i/>
      <w:iCs/>
      <w:color w:val="243F60"/>
    </w:rPr>
  </w:style>
  <w:style w:type="character" w:customStyle="1" w:styleId="Heading7Char">
    <w:name w:val="Heading 7 Char"/>
    <w:qFormat/>
    <w:rPr>
      <w:rFonts w:ascii="Calibri" w:eastAsia="MS Gothic;ＭＳ ゴシック" w:hAnsi="Calibri" w:cs="Times New Roman"/>
      <w:i/>
      <w:iCs/>
      <w:color w:val="404040"/>
    </w:rPr>
  </w:style>
  <w:style w:type="character" w:customStyle="1" w:styleId="Heading8Char">
    <w:name w:val="Heading 8 Char"/>
    <w:qFormat/>
    <w:rPr>
      <w:rFonts w:ascii="Calibri" w:eastAsia="MS Gothic;ＭＳ ゴシック" w:hAnsi="Calibri" w:cs="Times New Roman"/>
      <w:color w:val="4F81BD"/>
      <w:sz w:val="20"/>
      <w:szCs w:val="20"/>
    </w:rPr>
  </w:style>
  <w:style w:type="character" w:customStyle="1" w:styleId="Heading9Char">
    <w:name w:val="Heading 9 Char"/>
    <w:qFormat/>
    <w:rPr>
      <w:rFonts w:ascii="Calibri" w:eastAsia="MS Gothic;ＭＳ ゴシック"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paragraph" w:customStyle="1" w:styleId="Heading">
    <w:name w:val="Heading"/>
    <w:basedOn w:val="Normal"/>
    <w:next w:val="Normal"/>
    <w:qFormat/>
    <w:pPr>
      <w:pBdr>
        <w:bottom w:val="single" w:sz="8" w:space="4" w:color="4F81BD"/>
      </w:pBdr>
      <w:spacing w:after="300" w:line="240" w:lineRule="auto"/>
      <w:contextualSpacing/>
    </w:pPr>
    <w:rPr>
      <w:rFonts w:ascii="Calibri" w:eastAsia="MS Gothic;ＭＳ ゴシック" w:hAnsi="Calibri"/>
      <w:color w:val="17365D"/>
      <w:spacing w:val="5"/>
      <w:kern w:val="2"/>
      <w:sz w:val="52"/>
      <w:szCs w:val="52"/>
    </w:rPr>
  </w:style>
  <w:style w:type="paragraph" w:styleId="BodyText">
    <w:name w:val="Body Text"/>
    <w:basedOn w:val="Normal"/>
    <w:pPr>
      <w:spacing w:after="120"/>
    </w:pPr>
  </w:style>
  <w:style w:type="paragraph" w:styleId="List">
    <w:name w:val="List"/>
    <w:basedOn w:val="Normal"/>
    <w:pPr>
      <w:ind w:left="360" w:hanging="360"/>
      <w:contextualSpacing/>
    </w:pPr>
  </w:style>
  <w:style w:type="paragraph" w:styleId="Caption">
    <w:name w:val="caption"/>
    <w:basedOn w:val="Normal"/>
    <w:next w:val="Normal"/>
    <w:qFormat/>
    <w:pPr>
      <w:spacing w:line="240" w:lineRule="auto"/>
    </w:pPr>
    <w:rPr>
      <w:b/>
      <w:bCs/>
      <w:color w:val="4F81BD"/>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NoSpacing">
    <w:name w:val="No Spacing"/>
    <w:qFormat/>
    <w:pPr>
      <w:suppressAutoHyphens/>
    </w:pPr>
    <w:rPr>
      <w:rFonts w:ascii="Cambria" w:eastAsia="MS Mincho;ＭＳ 明朝" w:hAnsi="Cambria" w:cs="Times New Roman"/>
      <w:sz w:val="22"/>
      <w:szCs w:val="22"/>
      <w:lang w:eastAsia="zh-CN"/>
    </w:rPr>
  </w:style>
  <w:style w:type="paragraph" w:styleId="Subtitle">
    <w:name w:val="Subtitle"/>
    <w:basedOn w:val="Normal"/>
    <w:next w:val="Normal"/>
    <w:qFormat/>
    <w:rPr>
      <w:rFonts w:ascii="Calibri" w:eastAsia="MS Gothic;ＭＳ ゴシック" w:hAnsi="Calibri"/>
      <w:i/>
      <w:iCs/>
      <w:color w:val="4F81BD"/>
      <w:spacing w:val="15"/>
      <w:sz w:val="24"/>
      <w:szCs w:val="24"/>
    </w:rPr>
  </w:style>
  <w:style w:type="paragraph" w:styleId="ListParagraph">
    <w:name w:val="List Paragraph"/>
    <w:basedOn w:val="Normal"/>
    <w:qFormat/>
    <w:pPr>
      <w:ind w:left="720"/>
      <w:contextualSpacing/>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ListBullet2">
    <w:name w:val="List Bullet 2"/>
    <w:basedOn w:val="Normal"/>
    <w:pPr>
      <w:ind w:left="720" w:hanging="360"/>
      <w:contextualSpacing/>
    </w:pPr>
  </w:style>
  <w:style w:type="paragraph" w:styleId="ListBullet3">
    <w:name w:val="List Bullet 3"/>
    <w:basedOn w:val="Normal"/>
    <w:pPr>
      <w:ind w:left="1080" w:hanging="360"/>
      <w:contextualSpacing/>
    </w:pPr>
  </w:style>
  <w:style w:type="paragraph" w:styleId="ListBullet">
    <w:name w:val="List Bullet"/>
    <w:basedOn w:val="Normal"/>
    <w:qFormat/>
    <w:pPr>
      <w:numPr>
        <w:numId w:val="7"/>
      </w:numPr>
      <w:contextualSpacing/>
    </w:pPr>
  </w:style>
  <w:style w:type="paragraph" w:customStyle="1" w:styleId="ListBullet21">
    <w:name w:val="List Bullet 21"/>
    <w:basedOn w:val="Normal"/>
    <w:qFormat/>
    <w:pPr>
      <w:numPr>
        <w:numId w:val="5"/>
      </w:numPr>
      <w:contextualSpacing/>
    </w:pPr>
  </w:style>
  <w:style w:type="paragraph" w:customStyle="1" w:styleId="ListBullet31">
    <w:name w:val="List Bullet 31"/>
    <w:basedOn w:val="Normal"/>
    <w:qFormat/>
    <w:pPr>
      <w:numPr>
        <w:numId w:val="4"/>
      </w:numPr>
      <w:contextualSpacing/>
    </w:pPr>
  </w:style>
  <w:style w:type="paragraph" w:styleId="ListNumber">
    <w:name w:val="List Number"/>
    <w:basedOn w:val="Normal"/>
    <w:qFormat/>
    <w:pPr>
      <w:numPr>
        <w:numId w:val="6"/>
      </w:numPr>
      <w:contextualSpacing/>
    </w:pPr>
  </w:style>
  <w:style w:type="paragraph" w:styleId="ListNumber2">
    <w:name w:val="List Number 2"/>
    <w:basedOn w:val="Normal"/>
    <w:qFormat/>
    <w:pPr>
      <w:numPr>
        <w:numId w:val="3"/>
      </w:numPr>
      <w:contextualSpacing/>
    </w:pPr>
  </w:style>
  <w:style w:type="paragraph" w:styleId="ListNumber3">
    <w:name w:val="List Number 3"/>
    <w:basedOn w:val="Normal"/>
    <w:qFormat/>
    <w:pPr>
      <w:numPr>
        <w:numId w:val="2"/>
      </w:numPr>
      <w:contextualSpacing/>
    </w:pPr>
  </w:style>
  <w:style w:type="paragraph" w:styleId="ListContinue">
    <w:name w:val="List Continue"/>
    <w:basedOn w:val="Normal"/>
    <w:qFormat/>
    <w:pPr>
      <w:spacing w:after="120"/>
      <w:ind w:left="360"/>
      <w:contextualSpacing/>
    </w:pPr>
  </w:style>
  <w:style w:type="paragraph" w:styleId="ListContinue2">
    <w:name w:val="List Continue 2"/>
    <w:basedOn w:val="Normal"/>
    <w:qFormat/>
    <w:pPr>
      <w:spacing w:after="120"/>
      <w:ind w:left="720"/>
      <w:contextualSpacing/>
    </w:pPr>
  </w:style>
  <w:style w:type="paragraph" w:styleId="ListContinue3">
    <w:name w:val="List Continue 3"/>
    <w:basedOn w:val="Normal"/>
    <w:qFormat/>
    <w:pPr>
      <w:spacing w:after="120"/>
      <w:ind w:left="1080"/>
      <w:contextualSpacing/>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MS Mincho;ＭＳ 明朝" w:hAnsi="Courier" w:cs="Courier"/>
      <w:lang w:eastAsia="zh-CN"/>
    </w:rPr>
  </w:style>
  <w:style w:type="paragraph" w:styleId="Quote">
    <w:name w:val="Quote"/>
    <w:basedOn w:val="Normal"/>
    <w:next w:val="Normal"/>
    <w:qFormat/>
    <w:rPr>
      <w:i/>
      <w:iCs/>
      <w:color w:val="000000"/>
    </w:rPr>
  </w:style>
  <w:style w:type="paragraph" w:styleId="IntenseQuote">
    <w:name w:val="Intense Quote"/>
    <w:basedOn w:val="Normal"/>
    <w:next w:val="Normal"/>
    <w:qFormat/>
    <w:pPr>
      <w:pBdr>
        <w:bottom w:val="single" w:sz="4" w:space="4" w:color="4F81BD"/>
      </w:pBdr>
      <w:spacing w:before="200" w:after="280"/>
      <w:ind w:left="936" w:right="936"/>
    </w:pPr>
    <w:rPr>
      <w:b/>
      <w:bCs/>
      <w:i/>
      <w:iCs/>
      <w:color w:val="4F81BD"/>
    </w:rPr>
  </w:style>
  <w:style w:type="paragraph" w:styleId="TOCHeading">
    <w:name w:val="TOC Heading"/>
    <w:basedOn w:val="Heading1"/>
    <w:next w:val="Normal"/>
    <w:qFormat/>
    <w:pPr>
      <w:numPr>
        <w:numId w:val="0"/>
      </w:numPr>
      <w:outlineLvl w:val="9"/>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paragraph" w:styleId="NormalWeb">
    <w:name w:val="Normal (Web)"/>
    <w:basedOn w:val="Normal"/>
    <w:uiPriority w:val="99"/>
    <w:semiHidden/>
    <w:unhideWhenUsed/>
    <w:rsid w:val="004B3A3B"/>
    <w:pPr>
      <w:suppressAutoHyphens w:val="0"/>
      <w:spacing w:before="100" w:beforeAutospacing="1" w:after="100" w:afterAutospacing="1" w:line="240" w:lineRule="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2591</Words>
  <Characters>14773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Dự thảo Quyết định về cơ chế, chính sách khuyến khích phát triển ĐMTMN - tiếp thu góp ý</vt:lpstr>
    </vt:vector>
  </TitlesOfParts>
  <Company/>
  <LinksUpToDate>false</LinksUpToDate>
  <CharactersWithSpaces>17330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về cơ chế, chính sách khuyến khích phát triển ĐMTMN - tiếp thu góp ý</dc:title>
  <dc:subject/>
  <dc:creator>python-docx</dc:creator>
  <cp:keywords/>
  <dc:description>generated by python-docx</dc:description>
  <cp:lastModifiedBy>ACER</cp:lastModifiedBy>
  <cp:revision>14</cp:revision>
  <dcterms:created xsi:type="dcterms:W3CDTF">2026-10-21T15:21:00Z</dcterms:created>
  <dcterms:modified xsi:type="dcterms:W3CDTF">2026-10-29T00:40:00Z</dcterms:modified>
  <dc:language>en-US</dc:language>
</cp:coreProperties>
</file>